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5860"/>
        <w:spacing w:after="0"/>
        <w:rPr>
          <w:sz w:val="20"/>
          <w:szCs w:val="20"/>
          <w:color w:val="auto"/>
        </w:rPr>
      </w:pPr>
      <w:r>
        <w:rPr>
          <w:rFonts w:ascii="Courier New" w:cs="Courier New" w:eastAsia="Courier New" w:hAnsi="Courier New"/>
          <w:sz w:val="12"/>
          <w:szCs w:val="12"/>
          <w:color w:val="auto"/>
        </w:rPr>
        <w:t>FORM 10-Q</w:t>
      </w:r>
    </w:p>
    <w:p>
      <w:pPr>
        <w:spacing w:after="0" w:line="134" w:lineRule="exact"/>
        <w:rPr>
          <w:sz w:val="24"/>
          <w:szCs w:val="24"/>
          <w:color w:val="auto"/>
        </w:rPr>
      </w:pPr>
    </w:p>
    <w:p>
      <w:pPr>
        <w:ind w:left="1600"/>
        <w:spacing w:after="0"/>
        <w:rPr>
          <w:sz w:val="20"/>
          <w:szCs w:val="20"/>
          <w:color w:val="auto"/>
        </w:rPr>
      </w:pPr>
      <w:r>
        <w:rPr>
          <w:rFonts w:ascii="Courier New" w:cs="Courier New" w:eastAsia="Courier New" w:hAnsi="Courier New"/>
          <w:sz w:val="12"/>
          <w:szCs w:val="12"/>
          <w:color w:val="auto"/>
        </w:rPr>
        <w:t>SECURITIES AND EXCHANGE COMMISSION</w:t>
      </w:r>
    </w:p>
    <w:p>
      <w:pPr>
        <w:ind w:left="1960"/>
        <w:spacing w:after="0"/>
        <w:tabs>
          <w:tab w:leader="none" w:pos="3200" w:val="left"/>
        </w:tabs>
        <w:rPr>
          <w:sz w:val="20"/>
          <w:szCs w:val="20"/>
          <w:color w:val="auto"/>
        </w:rPr>
      </w:pPr>
      <w:r>
        <w:rPr>
          <w:rFonts w:ascii="Courier New" w:cs="Courier New" w:eastAsia="Courier New" w:hAnsi="Courier New"/>
          <w:sz w:val="12"/>
          <w:szCs w:val="12"/>
          <w:color w:val="auto"/>
        </w:rPr>
        <w:t>WASHINGTON, D.C.</w:t>
      </w:r>
      <w:r>
        <w:rPr>
          <w:sz w:val="20"/>
          <w:szCs w:val="20"/>
          <w:color w:val="auto"/>
        </w:rPr>
        <w:tab/>
      </w:r>
      <w:r>
        <w:rPr>
          <w:rFonts w:ascii="Courier New" w:cs="Courier New" w:eastAsia="Courier New" w:hAnsi="Courier New"/>
          <w:sz w:val="11"/>
          <w:szCs w:val="11"/>
          <w:color w:val="auto"/>
        </w:rPr>
        <w:t>20549</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(Mark One)</w:t>
      </w:r>
    </w:p>
    <w:p>
      <w:pPr>
        <w:spacing w:after="0" w:line="4" w:lineRule="exact"/>
        <w:rPr>
          <w:sz w:val="24"/>
          <w:szCs w:val="24"/>
          <w:color w:val="auto"/>
        </w:rPr>
      </w:pPr>
    </w:p>
    <w:p>
      <w:pPr>
        <w:spacing w:after="0"/>
        <w:tabs>
          <w:tab w:leader="none" w:pos="320" w:val="left"/>
        </w:tabs>
        <w:rPr>
          <w:sz w:val="20"/>
          <w:szCs w:val="20"/>
          <w:color w:val="auto"/>
        </w:rPr>
      </w:pPr>
      <w:r>
        <w:rPr>
          <w:rFonts w:ascii="Courier New" w:cs="Courier New" w:eastAsia="Courier New" w:hAnsi="Courier New"/>
          <w:sz w:val="11"/>
          <w:szCs w:val="11"/>
          <w:color w:val="auto"/>
        </w:rPr>
        <w:t>/X/</w:t>
        <w:tab/>
        <w:t>QUARTERLY REPORT PURSUANT TO SECTION 13 OR 15(d) OF THE</w:t>
      </w:r>
    </w:p>
    <w:p>
      <w:pPr>
        <w:spacing w:after="0" w:line="6" w:lineRule="exact"/>
        <w:rPr>
          <w:sz w:val="24"/>
          <w:szCs w:val="24"/>
          <w:color w:val="auto"/>
        </w:rPr>
      </w:pPr>
    </w:p>
    <w:p>
      <w:pPr>
        <w:ind w:left="340"/>
        <w:spacing w:after="0"/>
        <w:rPr>
          <w:sz w:val="20"/>
          <w:szCs w:val="20"/>
          <w:color w:val="auto"/>
        </w:rPr>
      </w:pPr>
      <w:r>
        <w:rPr>
          <w:rFonts w:ascii="Courier New" w:cs="Courier New" w:eastAsia="Courier New" w:hAnsi="Courier New"/>
          <w:sz w:val="12"/>
          <w:szCs w:val="12"/>
          <w:color w:val="auto"/>
        </w:rPr>
        <w:t>SECURITIES EXCHANGE ACT OF 1934</w:t>
      </w:r>
    </w:p>
    <w:p>
      <w:pPr>
        <w:ind w:left="340"/>
        <w:spacing w:after="0"/>
        <w:rPr>
          <w:sz w:val="20"/>
          <w:szCs w:val="20"/>
          <w:color w:val="auto"/>
        </w:rPr>
      </w:pPr>
      <w:r>
        <w:rPr>
          <w:rFonts w:ascii="Courier New" w:cs="Courier New" w:eastAsia="Courier New" w:hAnsi="Courier New"/>
          <w:sz w:val="12"/>
          <w:szCs w:val="12"/>
          <w:color w:val="auto"/>
        </w:rPr>
        <w:t>For the quarterly period ended September 30, 2001</w:t>
      </w:r>
    </w:p>
    <w:p>
      <w:pPr>
        <w:ind w:left="2520"/>
        <w:spacing w:after="0" w:line="237" w:lineRule="auto"/>
        <w:rPr>
          <w:sz w:val="20"/>
          <w:szCs w:val="20"/>
          <w:color w:val="auto"/>
        </w:rPr>
      </w:pPr>
      <w:r>
        <w:rPr>
          <w:rFonts w:ascii="Courier New" w:cs="Courier New" w:eastAsia="Courier New" w:hAnsi="Courier New"/>
          <w:sz w:val="12"/>
          <w:szCs w:val="12"/>
          <w:color w:val="auto"/>
        </w:rPr>
        <w:t>------------------</w:t>
      </w:r>
    </w:p>
    <w:p>
      <w:pPr>
        <w:spacing w:after="0" w:line="134" w:lineRule="exact"/>
        <w:rPr>
          <w:sz w:val="24"/>
          <w:szCs w:val="24"/>
          <w:color w:val="auto"/>
        </w:rPr>
      </w:pPr>
    </w:p>
    <w:p>
      <w:pPr>
        <w:ind w:left="2740"/>
        <w:spacing w:after="0"/>
        <w:rPr>
          <w:sz w:val="20"/>
          <w:szCs w:val="20"/>
          <w:color w:val="auto"/>
        </w:rPr>
      </w:pPr>
      <w:r>
        <w:rPr>
          <w:rFonts w:ascii="Courier New" w:cs="Courier New" w:eastAsia="Courier New" w:hAnsi="Courier New"/>
          <w:sz w:val="12"/>
          <w:szCs w:val="12"/>
          <w:color w:val="auto"/>
        </w:rPr>
        <w:t>OR</w:t>
      </w:r>
    </w:p>
    <w:p>
      <w:pPr>
        <w:sectPr>
          <w:pgSz w:w="11900" w:h="16875" w:orient="portrait"/>
          <w:cols w:equalWidth="0" w:num="1">
            <w:col w:w="11520"/>
          </w:cols>
          <w:pgMar w:left="220" w:top="209" w:right="159" w:bottom="0" w:gutter="0" w:footer="0" w:header="0"/>
        </w:sectPr>
      </w:pPr>
    </w:p>
    <w:p>
      <w:pPr>
        <w:spacing w:after="0" w:line="139"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 /</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TRANSITION REPORT PURSUANT TO SECTION 13 OR 15(d) OF THE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SECURITIES EXCHANGE ACT OF 1934</w:t>
      </w:r>
    </w:p>
    <w:p>
      <w:pPr>
        <w:spacing w:after="0"/>
        <w:tabs>
          <w:tab w:leader="none" w:pos="3280" w:val="left"/>
        </w:tabs>
        <w:rPr>
          <w:sz w:val="20"/>
          <w:szCs w:val="20"/>
          <w:color w:val="auto"/>
        </w:rPr>
      </w:pPr>
      <w:r>
        <w:rPr>
          <w:rFonts w:ascii="Courier New" w:cs="Courier New" w:eastAsia="Courier New" w:hAnsi="Courier New"/>
          <w:sz w:val="12"/>
          <w:szCs w:val="12"/>
          <w:color w:val="auto"/>
        </w:rPr>
        <w:t>For the transition period from</w:t>
      </w:r>
      <w:r>
        <w:rPr>
          <w:sz w:val="20"/>
          <w:szCs w:val="20"/>
          <w:color w:val="auto"/>
        </w:rPr>
        <w:tab/>
      </w:r>
      <w:r>
        <w:rPr>
          <w:rFonts w:ascii="Courier New" w:cs="Courier New" w:eastAsia="Courier New" w:hAnsi="Courier New"/>
          <w:sz w:val="11"/>
          <w:szCs w:val="11"/>
          <w:color w:val="auto"/>
        </w:rPr>
        <w:t>to</w:t>
      </w:r>
    </w:p>
    <w:p>
      <w:pPr>
        <w:spacing w:after="0" w:line="1" w:lineRule="exact"/>
        <w:rPr>
          <w:sz w:val="24"/>
          <w:szCs w:val="24"/>
          <w:color w:val="auto"/>
        </w:rPr>
      </w:pPr>
    </w:p>
    <w:p>
      <w:pPr>
        <w:sectPr>
          <w:pgSz w:w="11900" w:h="16875" w:orient="portrait"/>
          <w:cols w:equalWidth="0" w:num="2">
            <w:col w:w="200" w:space="140"/>
            <w:col w:w="11180"/>
          </w:cols>
          <w:pgMar w:left="220" w:top="209" w:right="159" w:bottom="0" w:gutter="0" w:footer="0" w:header="0"/>
          <w:type w:val="continuous"/>
        </w:sectPr>
      </w:pPr>
    </w:p>
    <w:p>
      <w:pPr>
        <w:ind w:left="2520"/>
        <w:spacing w:after="0" w:line="237" w:lineRule="auto"/>
        <w:tabs>
          <w:tab w:leader="none" w:pos="38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34"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Commission file number 0-565</w:t>
      </w:r>
    </w:p>
    <w:p>
      <w:pPr>
        <w:ind w:left="1600"/>
        <w:spacing w:after="0"/>
        <w:rPr>
          <w:sz w:val="20"/>
          <w:szCs w:val="20"/>
          <w:color w:val="auto"/>
        </w:rPr>
      </w:pPr>
      <w:r>
        <w:rPr>
          <w:rFonts w:ascii="Courier New" w:cs="Courier New" w:eastAsia="Courier New" w:hAnsi="Courier New"/>
          <w:sz w:val="12"/>
          <w:szCs w:val="12"/>
          <w:color w:val="auto"/>
        </w:rPr>
        <w:t>-----</w:t>
      </w:r>
    </w:p>
    <w:p>
      <w:pPr>
        <w:spacing w:after="0" w:line="269" w:lineRule="exact"/>
        <w:rPr>
          <w:sz w:val="24"/>
          <w:szCs w:val="24"/>
          <w:color w:val="auto"/>
        </w:rPr>
      </w:pPr>
    </w:p>
    <w:p>
      <w:pPr>
        <w:ind w:left="1880"/>
        <w:spacing w:after="0"/>
        <w:rPr>
          <w:sz w:val="20"/>
          <w:szCs w:val="20"/>
          <w:color w:val="auto"/>
        </w:rPr>
      </w:pPr>
      <w:r>
        <w:rPr>
          <w:rFonts w:ascii="Courier New" w:cs="Courier New" w:eastAsia="Courier New" w:hAnsi="Courier New"/>
          <w:sz w:val="12"/>
          <w:szCs w:val="12"/>
          <w:color w:val="auto"/>
        </w:rPr>
        <w:t>ALEXANDER &amp; BALDWIN, INC.</w:t>
      </w:r>
    </w:p>
    <w:p>
      <w:pPr>
        <w:ind w:left="1880"/>
        <w:spacing w:after="0"/>
        <w:rPr>
          <w:sz w:val="20"/>
          <w:szCs w:val="20"/>
          <w:color w:val="auto"/>
        </w:rPr>
      </w:pPr>
      <w:r>
        <w:rPr>
          <w:rFonts w:ascii="Courier New" w:cs="Courier New" w:eastAsia="Courier New" w:hAnsi="Courier New"/>
          <w:sz w:val="12"/>
          <w:szCs w:val="12"/>
          <w:color w:val="auto"/>
        </w:rPr>
        <w:t>-------------------------</w:t>
      </w:r>
    </w:p>
    <w:p>
      <w:pPr>
        <w:spacing w:after="0" w:line="133" w:lineRule="exact"/>
        <w:rPr>
          <w:sz w:val="24"/>
          <w:szCs w:val="24"/>
          <w:color w:val="auto"/>
        </w:rPr>
      </w:pPr>
    </w:p>
    <w:p>
      <w:pPr>
        <w:ind w:left="900"/>
        <w:spacing w:after="0"/>
        <w:rPr>
          <w:sz w:val="20"/>
          <w:szCs w:val="20"/>
          <w:color w:val="auto"/>
        </w:rPr>
      </w:pPr>
      <w:r>
        <w:rPr>
          <w:rFonts w:ascii="Courier New" w:cs="Courier New" w:eastAsia="Courier New" w:hAnsi="Courier New"/>
          <w:sz w:val="12"/>
          <w:szCs w:val="12"/>
          <w:color w:val="auto"/>
        </w:rPr>
        <w:t>(Exact name of registrant as specified in its charter)</w:t>
      </w:r>
    </w:p>
    <w:p>
      <w:pPr>
        <w:spacing w:after="0" w:line="134"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2920" w:type="dxa"/>
            <w:vAlign w:val="bottom"/>
          </w:tcPr>
          <w:p>
            <w:pPr>
              <w:jc w:val="center"/>
              <w:ind w:right="321"/>
              <w:spacing w:after="0"/>
              <w:rPr>
                <w:sz w:val="20"/>
                <w:szCs w:val="20"/>
                <w:color w:val="auto"/>
              </w:rPr>
            </w:pPr>
            <w:r>
              <w:rPr>
                <w:rFonts w:ascii="Courier New" w:cs="Courier New" w:eastAsia="Courier New" w:hAnsi="Courier New"/>
                <w:sz w:val="12"/>
                <w:szCs w:val="12"/>
                <w:color w:val="auto"/>
                <w:w w:val="97"/>
              </w:rPr>
              <w:t>HAWAII</w:t>
            </w:r>
          </w:p>
        </w:tc>
        <w:tc>
          <w:tcPr>
            <w:tcW w:w="1780" w:type="dxa"/>
            <w:vAlign w:val="bottom"/>
          </w:tcPr>
          <w:p>
            <w:pPr>
              <w:jc w:val="center"/>
              <w:ind w:left="461"/>
              <w:spacing w:after="0"/>
              <w:rPr>
                <w:sz w:val="20"/>
                <w:szCs w:val="20"/>
                <w:color w:val="auto"/>
              </w:rPr>
            </w:pPr>
            <w:r>
              <w:rPr>
                <w:rFonts w:ascii="Courier New" w:cs="Courier New" w:eastAsia="Courier New" w:hAnsi="Courier New"/>
                <w:sz w:val="12"/>
                <w:szCs w:val="12"/>
                <w:color w:val="auto"/>
                <w:w w:val="97"/>
              </w:rPr>
              <w:t>99-0032630</w:t>
            </w:r>
          </w:p>
        </w:tc>
      </w:tr>
      <w:tr>
        <w:trPr>
          <w:trHeight w:val="135"/>
        </w:trPr>
        <w:tc>
          <w:tcPr>
            <w:tcW w:w="2920" w:type="dxa"/>
            <w:vAlign w:val="bottom"/>
          </w:tcPr>
          <w:p>
            <w:pPr>
              <w:jc w:val="center"/>
              <w:ind w:right="321"/>
              <w:spacing w:after="0"/>
              <w:rPr>
                <w:sz w:val="20"/>
                <w:szCs w:val="20"/>
                <w:color w:val="auto"/>
              </w:rPr>
            </w:pPr>
            <w:r>
              <w:rPr>
                <w:rFonts w:ascii="Courier New" w:cs="Courier New" w:eastAsia="Courier New" w:hAnsi="Courier New"/>
                <w:sz w:val="12"/>
                <w:szCs w:val="12"/>
                <w:color w:val="auto"/>
                <w:w w:val="97"/>
              </w:rPr>
              <w:t>------</w:t>
            </w:r>
          </w:p>
        </w:tc>
        <w:tc>
          <w:tcPr>
            <w:tcW w:w="1780" w:type="dxa"/>
            <w:vAlign w:val="bottom"/>
          </w:tcPr>
          <w:p>
            <w:pPr>
              <w:jc w:val="center"/>
              <w:ind w:left="461"/>
              <w:spacing w:after="0"/>
              <w:rPr>
                <w:sz w:val="20"/>
                <w:szCs w:val="20"/>
                <w:color w:val="auto"/>
              </w:rPr>
            </w:pPr>
            <w:r>
              <w:rPr>
                <w:rFonts w:ascii="Courier New" w:cs="Courier New" w:eastAsia="Courier New" w:hAnsi="Courier New"/>
                <w:sz w:val="12"/>
                <w:szCs w:val="12"/>
                <w:color w:val="auto"/>
                <w:w w:val="97"/>
              </w:rPr>
              <w:t>----------</w:t>
            </w:r>
          </w:p>
        </w:tc>
      </w:tr>
      <w:tr>
        <w:trPr>
          <w:trHeight w:val="270"/>
        </w:trPr>
        <w:tc>
          <w:tcPr>
            <w:tcW w:w="2920" w:type="dxa"/>
            <w:vAlign w:val="bottom"/>
          </w:tcPr>
          <w:p>
            <w:pPr>
              <w:jc w:val="center"/>
              <w:ind w:right="401"/>
              <w:spacing w:after="0"/>
              <w:rPr>
                <w:sz w:val="20"/>
                <w:szCs w:val="20"/>
                <w:color w:val="auto"/>
              </w:rPr>
            </w:pPr>
            <w:r>
              <w:rPr>
                <w:rFonts w:ascii="Courier New" w:cs="Courier New" w:eastAsia="Courier New" w:hAnsi="Courier New"/>
                <w:sz w:val="12"/>
                <w:szCs w:val="12"/>
                <w:color w:val="auto"/>
                <w:w w:val="97"/>
              </w:rPr>
              <w:t>(State or other jurisdiction of</w:t>
            </w:r>
          </w:p>
        </w:tc>
        <w:tc>
          <w:tcPr>
            <w:tcW w:w="1780" w:type="dxa"/>
            <w:vAlign w:val="bottom"/>
          </w:tcPr>
          <w:p>
            <w:pPr>
              <w:jc w:val="center"/>
              <w:ind w:left="481"/>
              <w:spacing w:after="0"/>
              <w:rPr>
                <w:sz w:val="20"/>
                <w:szCs w:val="20"/>
                <w:color w:val="auto"/>
              </w:rPr>
            </w:pPr>
            <w:r>
              <w:rPr>
                <w:rFonts w:ascii="Courier New" w:cs="Courier New" w:eastAsia="Courier New" w:hAnsi="Courier New"/>
                <w:sz w:val="12"/>
                <w:szCs w:val="12"/>
                <w:color w:val="auto"/>
                <w:w w:val="97"/>
              </w:rPr>
              <w:t>(I.R.S. Employer</w:t>
            </w:r>
          </w:p>
        </w:tc>
      </w:tr>
      <w:tr>
        <w:trPr>
          <w:trHeight w:val="135"/>
        </w:trPr>
        <w:tc>
          <w:tcPr>
            <w:tcW w:w="2920" w:type="dxa"/>
            <w:vAlign w:val="bottom"/>
          </w:tcPr>
          <w:p>
            <w:pPr>
              <w:jc w:val="center"/>
              <w:ind w:right="321"/>
              <w:spacing w:after="0"/>
              <w:rPr>
                <w:sz w:val="20"/>
                <w:szCs w:val="20"/>
                <w:color w:val="auto"/>
              </w:rPr>
            </w:pPr>
            <w:r>
              <w:rPr>
                <w:rFonts w:ascii="Courier New" w:cs="Courier New" w:eastAsia="Courier New" w:hAnsi="Courier New"/>
                <w:sz w:val="12"/>
                <w:szCs w:val="12"/>
                <w:color w:val="auto"/>
                <w:w w:val="97"/>
              </w:rPr>
              <w:t>incorporation or organization)</w:t>
            </w:r>
          </w:p>
        </w:tc>
        <w:tc>
          <w:tcPr>
            <w:tcW w:w="1780" w:type="dxa"/>
            <w:vAlign w:val="bottom"/>
          </w:tcPr>
          <w:p>
            <w:pPr>
              <w:jc w:val="center"/>
              <w:ind w:left="401"/>
              <w:spacing w:after="0"/>
              <w:rPr>
                <w:sz w:val="20"/>
                <w:szCs w:val="20"/>
                <w:color w:val="auto"/>
              </w:rPr>
            </w:pPr>
            <w:r>
              <w:rPr>
                <w:rFonts w:ascii="Courier New" w:cs="Courier New" w:eastAsia="Courier New" w:hAnsi="Courier New"/>
                <w:sz w:val="12"/>
                <w:szCs w:val="12"/>
                <w:color w:val="auto"/>
                <w:w w:val="96"/>
              </w:rPr>
              <w:t>Identification No.)</w:t>
            </w:r>
          </w:p>
        </w:tc>
      </w:tr>
      <w:tr>
        <w:trPr>
          <w:trHeight w:val="405"/>
        </w:trPr>
        <w:tc>
          <w:tcPr>
            <w:tcW w:w="2920" w:type="dxa"/>
            <w:vAlign w:val="bottom"/>
          </w:tcPr>
          <w:p>
            <w:pPr>
              <w:jc w:val="center"/>
              <w:ind w:right="321"/>
              <w:spacing w:after="0"/>
              <w:rPr>
                <w:sz w:val="20"/>
                <w:szCs w:val="20"/>
                <w:color w:val="auto"/>
              </w:rPr>
            </w:pPr>
            <w:r>
              <w:rPr>
                <w:rFonts w:ascii="Courier New" w:cs="Courier New" w:eastAsia="Courier New" w:hAnsi="Courier New"/>
                <w:sz w:val="12"/>
                <w:szCs w:val="12"/>
                <w:color w:val="auto"/>
                <w:w w:val="98"/>
              </w:rPr>
              <w:t>P. O. BOX 3440, HONOLULU, HAWAII</w:t>
            </w:r>
          </w:p>
        </w:tc>
        <w:tc>
          <w:tcPr>
            <w:tcW w:w="1780" w:type="dxa"/>
            <w:vAlign w:val="bottom"/>
          </w:tcPr>
          <w:p>
            <w:pPr>
              <w:jc w:val="center"/>
              <w:ind w:left="401"/>
              <w:spacing w:after="0"/>
              <w:rPr>
                <w:sz w:val="20"/>
                <w:szCs w:val="20"/>
                <w:color w:val="auto"/>
              </w:rPr>
            </w:pPr>
            <w:r>
              <w:rPr>
                <w:rFonts w:ascii="Courier New" w:cs="Courier New" w:eastAsia="Courier New" w:hAnsi="Courier New"/>
                <w:sz w:val="12"/>
                <w:szCs w:val="12"/>
                <w:color w:val="auto"/>
                <w:w w:val="99"/>
              </w:rPr>
              <w:t>96801</w:t>
            </w:r>
          </w:p>
        </w:tc>
      </w:tr>
      <w:tr>
        <w:trPr>
          <w:trHeight w:val="135"/>
        </w:trPr>
        <w:tc>
          <w:tcPr>
            <w:tcW w:w="2920" w:type="dxa"/>
            <w:vAlign w:val="bottom"/>
          </w:tcPr>
          <w:p>
            <w:pPr>
              <w:jc w:val="center"/>
              <w:ind w:right="401"/>
              <w:spacing w:after="0"/>
              <w:rPr>
                <w:sz w:val="20"/>
                <w:szCs w:val="20"/>
                <w:color w:val="auto"/>
              </w:rPr>
            </w:pPr>
            <w:r>
              <w:rPr>
                <w:rFonts w:ascii="Courier New" w:cs="Courier New" w:eastAsia="Courier New" w:hAnsi="Courier New"/>
                <w:sz w:val="12"/>
                <w:szCs w:val="12"/>
                <w:color w:val="auto"/>
                <w:w w:val="97"/>
              </w:rPr>
              <w:t>822 BISHOP STREET, HONOLULU, HAWAII</w:t>
            </w:r>
          </w:p>
        </w:tc>
        <w:tc>
          <w:tcPr>
            <w:tcW w:w="1780" w:type="dxa"/>
            <w:vAlign w:val="bottom"/>
          </w:tcPr>
          <w:p>
            <w:pPr>
              <w:jc w:val="center"/>
              <w:ind w:left="401"/>
              <w:spacing w:after="0"/>
              <w:rPr>
                <w:sz w:val="20"/>
                <w:szCs w:val="20"/>
                <w:color w:val="auto"/>
              </w:rPr>
            </w:pPr>
            <w:r>
              <w:rPr>
                <w:rFonts w:ascii="Courier New" w:cs="Courier New" w:eastAsia="Courier New" w:hAnsi="Courier New"/>
                <w:sz w:val="12"/>
                <w:szCs w:val="12"/>
                <w:color w:val="auto"/>
                <w:w w:val="99"/>
              </w:rPr>
              <w:t>96813</w:t>
            </w:r>
          </w:p>
        </w:tc>
      </w:tr>
      <w:tr>
        <w:trPr>
          <w:trHeight w:val="135"/>
        </w:trPr>
        <w:tc>
          <w:tcPr>
            <w:tcW w:w="2920" w:type="dxa"/>
            <w:vAlign w:val="bottom"/>
          </w:tcPr>
          <w:p>
            <w:pPr>
              <w:jc w:val="center"/>
              <w:ind w:right="401"/>
              <w:spacing w:after="0"/>
              <w:rPr>
                <w:sz w:val="20"/>
                <w:szCs w:val="20"/>
                <w:color w:val="auto"/>
              </w:rPr>
            </w:pPr>
            <w:r>
              <w:rPr>
                <w:rFonts w:ascii="Courier New" w:cs="Courier New" w:eastAsia="Courier New" w:hAnsi="Courier New"/>
                <w:sz w:val="12"/>
                <w:szCs w:val="12"/>
                <w:color w:val="auto"/>
                <w:w w:val="97"/>
              </w:rPr>
              <w:t>-----------------------------------</w:t>
            </w:r>
          </w:p>
        </w:tc>
        <w:tc>
          <w:tcPr>
            <w:tcW w:w="1780" w:type="dxa"/>
            <w:vAlign w:val="bottom"/>
          </w:tcPr>
          <w:p>
            <w:pPr>
              <w:jc w:val="center"/>
              <w:ind w:left="401"/>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2920" w:type="dxa"/>
            <w:vAlign w:val="bottom"/>
          </w:tcPr>
          <w:p>
            <w:pPr>
              <w:jc w:val="center"/>
              <w:ind w:right="401"/>
              <w:spacing w:after="0"/>
              <w:rPr>
                <w:sz w:val="20"/>
                <w:szCs w:val="20"/>
                <w:color w:val="auto"/>
              </w:rPr>
            </w:pPr>
            <w:r>
              <w:rPr>
                <w:rFonts w:ascii="Courier New" w:cs="Courier New" w:eastAsia="Courier New" w:hAnsi="Courier New"/>
                <w:sz w:val="12"/>
                <w:szCs w:val="12"/>
                <w:color w:val="auto"/>
                <w:w w:val="97"/>
              </w:rPr>
              <w:t>(Address of principal executive</w:t>
            </w:r>
          </w:p>
        </w:tc>
        <w:tc>
          <w:tcPr>
            <w:tcW w:w="1780" w:type="dxa"/>
            <w:vAlign w:val="bottom"/>
          </w:tcPr>
          <w:p>
            <w:pPr>
              <w:jc w:val="center"/>
              <w:ind w:left="461"/>
              <w:spacing w:after="0"/>
              <w:rPr>
                <w:sz w:val="20"/>
                <w:szCs w:val="20"/>
                <w:color w:val="auto"/>
              </w:rPr>
            </w:pPr>
            <w:r>
              <w:rPr>
                <w:rFonts w:ascii="Courier New" w:cs="Courier New" w:eastAsia="Courier New" w:hAnsi="Courier New"/>
                <w:sz w:val="12"/>
                <w:szCs w:val="12"/>
                <w:color w:val="auto"/>
                <w:w w:val="97"/>
              </w:rPr>
              <w:t>(Zip Code)</w:t>
            </w:r>
          </w:p>
        </w:tc>
      </w:tr>
      <w:tr>
        <w:trPr>
          <w:trHeight w:val="135"/>
        </w:trPr>
        <w:tc>
          <w:tcPr>
            <w:tcW w:w="2920" w:type="dxa"/>
            <w:vAlign w:val="bottom"/>
          </w:tcPr>
          <w:p>
            <w:pPr>
              <w:jc w:val="center"/>
              <w:ind w:right="341"/>
              <w:spacing w:after="0"/>
              <w:rPr>
                <w:sz w:val="20"/>
                <w:szCs w:val="20"/>
                <w:color w:val="auto"/>
              </w:rPr>
            </w:pPr>
            <w:r>
              <w:rPr>
                <w:rFonts w:ascii="Courier New" w:cs="Courier New" w:eastAsia="Courier New" w:hAnsi="Courier New"/>
                <w:sz w:val="12"/>
                <w:szCs w:val="12"/>
                <w:color w:val="auto"/>
                <w:w w:val="97"/>
              </w:rPr>
              <w:t>offices)</w:t>
            </w:r>
          </w:p>
        </w:tc>
        <w:tc>
          <w:tcPr>
            <w:tcW w:w="1780" w:type="dxa"/>
            <w:vAlign w:val="bottom"/>
          </w:tcPr>
          <w:p>
            <w:pPr>
              <w:spacing w:after="0"/>
              <w:rPr>
                <w:sz w:val="11"/>
                <w:szCs w:val="11"/>
                <w:color w:val="auto"/>
              </w:rPr>
            </w:pPr>
          </w:p>
        </w:tc>
      </w:tr>
    </w:tbl>
    <w:p>
      <w:pPr>
        <w:spacing w:after="0" w:line="134" w:lineRule="exact"/>
        <w:rPr>
          <w:sz w:val="24"/>
          <w:szCs w:val="24"/>
          <w:color w:val="auto"/>
        </w:rPr>
      </w:pPr>
    </w:p>
    <w:p>
      <w:pPr>
        <w:ind w:left="2320"/>
        <w:spacing w:after="0"/>
        <w:rPr>
          <w:sz w:val="20"/>
          <w:szCs w:val="20"/>
          <w:color w:val="auto"/>
        </w:rPr>
      </w:pPr>
      <w:r>
        <w:rPr>
          <w:rFonts w:ascii="Courier New" w:cs="Courier New" w:eastAsia="Courier New" w:hAnsi="Courier New"/>
          <w:sz w:val="12"/>
          <w:szCs w:val="12"/>
          <w:color w:val="auto"/>
        </w:rPr>
        <w:t>(808) 525-6611</w:t>
      </w:r>
    </w:p>
    <w:p>
      <w:pPr>
        <w:ind w:left="2320"/>
        <w:spacing w:after="0"/>
        <w:rPr>
          <w:sz w:val="20"/>
          <w:szCs w:val="20"/>
          <w:color w:val="auto"/>
        </w:rPr>
      </w:pPr>
      <w:r>
        <w:rPr>
          <w:rFonts w:ascii="Courier New" w:cs="Courier New" w:eastAsia="Courier New" w:hAnsi="Courier New"/>
          <w:sz w:val="12"/>
          <w:szCs w:val="12"/>
          <w:color w:val="auto"/>
        </w:rPr>
        <w:t>--------------</w:t>
      </w:r>
    </w:p>
    <w:p>
      <w:pPr>
        <w:jc w:val="center"/>
        <w:ind w:right="5920"/>
        <w:spacing w:after="0" w:line="237" w:lineRule="auto"/>
        <w:rPr>
          <w:sz w:val="20"/>
          <w:szCs w:val="20"/>
          <w:color w:val="auto"/>
        </w:rPr>
      </w:pPr>
      <w:r>
        <w:rPr>
          <w:rFonts w:ascii="Courier New" w:cs="Courier New" w:eastAsia="Courier New" w:hAnsi="Courier New"/>
          <w:sz w:val="12"/>
          <w:szCs w:val="12"/>
          <w:color w:val="auto"/>
        </w:rPr>
        <w:t>(Registrant's telephone number, including area code)</w:t>
      </w:r>
    </w:p>
    <w:p>
      <w:pPr>
        <w:spacing w:after="0" w:line="134" w:lineRule="exact"/>
        <w:rPr>
          <w:sz w:val="24"/>
          <w:szCs w:val="24"/>
          <w:color w:val="auto"/>
        </w:rPr>
      </w:pPr>
    </w:p>
    <w:p>
      <w:pPr>
        <w:ind w:left="2660"/>
        <w:spacing w:after="0"/>
        <w:rPr>
          <w:sz w:val="20"/>
          <w:szCs w:val="20"/>
          <w:color w:val="auto"/>
        </w:rPr>
      </w:pPr>
      <w:r>
        <w:rPr>
          <w:rFonts w:ascii="Courier New" w:cs="Courier New" w:eastAsia="Courier New" w:hAnsi="Courier New"/>
          <w:sz w:val="12"/>
          <w:szCs w:val="12"/>
          <w:color w:val="auto"/>
        </w:rPr>
        <w:t>N/A</w:t>
      </w:r>
    </w:p>
    <w:p>
      <w:pPr>
        <w:ind w:left="2660"/>
        <w:spacing w:after="0"/>
        <w:rPr>
          <w:sz w:val="20"/>
          <w:szCs w:val="20"/>
          <w:color w:val="auto"/>
        </w:rPr>
      </w:pPr>
      <w:r>
        <w:rPr>
          <w:rFonts w:ascii="Courier New" w:cs="Courier New" w:eastAsia="Courier New" w:hAnsi="Courier New"/>
          <w:sz w:val="12"/>
          <w:szCs w:val="12"/>
          <w:color w:val="auto"/>
        </w:rPr>
        <w:t>---</w:t>
      </w:r>
    </w:p>
    <w:p>
      <w:pPr>
        <w:ind w:left="1400"/>
        <w:spacing w:after="0" w:line="237" w:lineRule="auto"/>
        <w:rPr>
          <w:sz w:val="20"/>
          <w:szCs w:val="20"/>
          <w:color w:val="auto"/>
        </w:rPr>
      </w:pPr>
      <w:r>
        <w:rPr>
          <w:rFonts w:ascii="Courier New" w:cs="Courier New" w:eastAsia="Courier New" w:hAnsi="Courier New"/>
          <w:sz w:val="12"/>
          <w:szCs w:val="12"/>
          <w:color w:val="auto"/>
        </w:rPr>
        <w:t>(Former name, former address and former</w:t>
      </w:r>
    </w:p>
    <w:p>
      <w:pPr>
        <w:ind w:left="1260"/>
        <w:spacing w:after="0"/>
        <w:rPr>
          <w:sz w:val="20"/>
          <w:szCs w:val="20"/>
          <w:color w:val="auto"/>
        </w:rPr>
      </w:pPr>
      <w:r>
        <w:rPr>
          <w:rFonts w:ascii="Courier New" w:cs="Courier New" w:eastAsia="Courier New" w:hAnsi="Courier New"/>
          <w:sz w:val="12"/>
          <w:szCs w:val="12"/>
          <w:color w:val="auto"/>
        </w:rPr>
        <w:t>fiscal year, if changed since last report)</w:t>
      </w:r>
    </w:p>
    <w:p>
      <w:pPr>
        <w:spacing w:after="0" w:line="133"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Indicate by check mark whether the registrant (1) has filed all reports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required to be filed by Section 13 or 15(d) of the Securities Exchange Act of</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1934 during the preceding 12 months (or for such shorter period that the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registrant was required to file such reports), and (2) has been subject to such</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filing requirements for the past 90 days.</w:t>
      </w:r>
    </w:p>
    <w:p>
      <w:pPr>
        <w:sectPr>
          <w:pgSz w:w="11900" w:h="16875" w:orient="portrait"/>
          <w:cols w:equalWidth="0" w:num="1">
            <w:col w:w="11520"/>
          </w:cols>
          <w:pgMar w:left="220" w:top="209" w:right="159" w:bottom="0" w:gutter="0" w:footer="0" w:header="0"/>
          <w:type w:val="continuous"/>
        </w:sectPr>
      </w:pPr>
    </w:p>
    <w:p>
      <w:pPr>
        <w:spacing w:after="0" w:line="4" w:lineRule="exact"/>
        <w:rPr>
          <w:sz w:val="24"/>
          <w:szCs w:val="24"/>
          <w:color w:val="auto"/>
        </w:rPr>
      </w:pPr>
    </w:p>
    <w:p>
      <w:pPr>
        <w:ind w:left="4420"/>
        <w:spacing w:after="0"/>
        <w:rPr>
          <w:sz w:val="20"/>
          <w:szCs w:val="20"/>
          <w:color w:val="auto"/>
        </w:rPr>
      </w:pPr>
      <w:r>
        <w:rPr>
          <w:rFonts w:ascii="Courier New" w:cs="Courier New" w:eastAsia="Courier New" w:hAnsi="Courier New"/>
          <w:sz w:val="11"/>
          <w:szCs w:val="11"/>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1"/>
          <w:szCs w:val="11"/>
          <w:color w:val="auto"/>
        </w:rPr>
        <w:t>No / /</w:t>
      </w:r>
    </w:p>
    <w:p>
      <w:pPr>
        <w:spacing w:after="0" w:line="200" w:lineRule="exact"/>
        <w:rPr>
          <w:sz w:val="24"/>
          <w:szCs w:val="24"/>
          <w:color w:val="auto"/>
        </w:rPr>
      </w:pPr>
    </w:p>
    <w:p>
      <w:pPr>
        <w:sectPr>
          <w:pgSz w:w="11900" w:h="16875" w:orient="portrait"/>
          <w:cols w:equalWidth="0" w:num="2">
            <w:col w:w="4900" w:space="160"/>
            <w:col w:w="6460"/>
          </w:cols>
          <w:pgMar w:left="220" w:top="209" w:right="159" w:bottom="0" w:gutter="0" w:footer="0" w:header="0"/>
          <w:type w:val="continuous"/>
        </w:sectPr>
      </w:pPr>
    </w:p>
    <w:p>
      <w:pPr>
        <w:spacing w:after="0" w:line="81"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Number of shares of common stock outstanding as of</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September 30, 2001:</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40,484,055</w:t>
      </w:r>
    </w:p>
    <w:p>
      <w:pPr>
        <w:spacing w:after="0" w:line="206" w:lineRule="exact"/>
        <w:rPr>
          <w:sz w:val="24"/>
          <w:szCs w:val="24"/>
          <w:color w:val="auto"/>
        </w:rPr>
      </w:pPr>
    </w:p>
    <w:p>
      <w:pPr>
        <w:sectPr>
          <w:pgSz w:w="11900" w:h="16875" w:orient="portrait"/>
          <w:cols w:equalWidth="0" w:num="2">
            <w:col w:w="3900" w:space="720"/>
            <w:col w:w="6900"/>
          </w:cols>
          <w:pgMar w:left="220" w:top="209" w:right="159" w:bottom="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ind w:left="1740"/>
        <w:spacing w:after="0"/>
        <w:rPr>
          <w:sz w:val="20"/>
          <w:szCs w:val="20"/>
          <w:color w:val="auto"/>
        </w:rPr>
      </w:pPr>
      <w:r>
        <w:rPr>
          <w:rFonts w:ascii="Courier New" w:cs="Courier New" w:eastAsia="Courier New" w:hAnsi="Courier New"/>
          <w:sz w:val="11"/>
          <w:szCs w:val="11"/>
          <w:color w:val="auto"/>
        </w:rPr>
        <w:t>PART 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FINANCIAL INFORMATION</w:t>
      </w:r>
    </w:p>
    <w:p>
      <w:pPr>
        <w:spacing w:after="0" w:line="200" w:lineRule="exact"/>
        <w:rPr>
          <w:sz w:val="24"/>
          <w:szCs w:val="24"/>
          <w:color w:val="auto"/>
        </w:rPr>
      </w:pPr>
    </w:p>
    <w:p>
      <w:pPr>
        <w:sectPr>
          <w:pgSz w:w="11900" w:h="16875" w:orient="portrait"/>
          <w:cols w:equalWidth="0" w:num="2">
            <w:col w:w="2240" w:space="140"/>
            <w:col w:w="9140"/>
          </w:cols>
          <w:pgMar w:left="220" w:top="209" w:right="159" w:bottom="0" w:gutter="0" w:footer="0" w:header="0"/>
          <w:type w:val="continuous"/>
        </w:sectPr>
      </w:pPr>
    </w:p>
    <w:p>
      <w:pPr>
        <w:spacing w:after="0" w:line="76" w:lineRule="exact"/>
        <w:rPr>
          <w:sz w:val="24"/>
          <w:szCs w:val="24"/>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ITEM 1.</w:t>
      </w:r>
      <w:r>
        <w:rPr>
          <w:sz w:val="20"/>
          <w:szCs w:val="20"/>
          <w:color w:val="auto"/>
        </w:rPr>
        <w:tab/>
      </w:r>
      <w:r>
        <w:rPr>
          <w:rFonts w:ascii="Courier New" w:cs="Courier New" w:eastAsia="Courier New" w:hAnsi="Courier New"/>
          <w:sz w:val="11"/>
          <w:szCs w:val="11"/>
          <w:color w:val="auto"/>
        </w:rPr>
        <w:t>FINANCIAL STATEMENTS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 -----------------------------</w:t>
      </w:r>
    </w:p>
    <w:p>
      <w:pPr>
        <w:sectPr>
          <w:pgSz w:w="11900" w:h="16875" w:orient="portrait"/>
          <w:cols w:equalWidth="0" w:num="1">
            <w:col w:w="11520"/>
          </w:cols>
          <w:pgMar w:left="220" w:top="209" w:right="159" w:bottom="0" w:gutter="0" w:footer="0" w:header="0"/>
          <w:type w:val="continuous"/>
        </w:sectPr>
      </w:pP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The condensed financial statements and notes for the third quarter and first</w:t>
      </w:r>
    </w:p>
    <w:p>
      <w:pPr>
        <w:spacing w:after="0"/>
        <w:rPr>
          <w:sz w:val="20"/>
          <w:szCs w:val="20"/>
          <w:color w:val="auto"/>
        </w:rPr>
      </w:pPr>
      <w:r>
        <w:rPr>
          <w:rFonts w:ascii="Courier New" w:cs="Courier New" w:eastAsia="Courier New" w:hAnsi="Courier New"/>
          <w:sz w:val="12"/>
          <w:szCs w:val="12"/>
          <w:color w:val="auto"/>
        </w:rPr>
        <w:t>nine months of 2001 are presented below, with comparative figures from the 2000</w:t>
      </w:r>
    </w:p>
    <w:p>
      <w:pPr>
        <w:spacing w:after="0" w:line="237" w:lineRule="auto"/>
        <w:rPr>
          <w:sz w:val="20"/>
          <w:szCs w:val="20"/>
          <w:color w:val="auto"/>
        </w:rPr>
      </w:pPr>
      <w:r>
        <w:rPr>
          <w:rFonts w:ascii="Courier New" w:cs="Courier New" w:eastAsia="Courier New" w:hAnsi="Courier New"/>
          <w:sz w:val="12"/>
          <w:szCs w:val="12"/>
          <w:color w:val="auto"/>
        </w:rPr>
        <w:t>financial statements.</w:t>
      </w:r>
    </w:p>
    <w:p>
      <w:pPr>
        <w:spacing w:after="0" w:line="200" w:lineRule="exact"/>
        <w:rPr>
          <w:sz w:val="24"/>
          <w:szCs w:val="24"/>
          <w:color w:val="auto"/>
        </w:rPr>
      </w:pPr>
    </w:p>
    <w:p>
      <w:pPr>
        <w:spacing w:after="0" w:line="205" w:lineRule="exact"/>
        <w:rPr>
          <w:sz w:val="24"/>
          <w:szCs w:val="24"/>
          <w:color w:val="auto"/>
        </w:rPr>
      </w:pPr>
    </w:p>
    <w:p>
      <w:pPr>
        <w:jc w:val="center"/>
        <w:ind w:right="5900"/>
        <w:spacing w:after="0"/>
        <w:rPr>
          <w:sz w:val="20"/>
          <w:szCs w:val="20"/>
          <w:color w:val="auto"/>
        </w:rPr>
      </w:pPr>
      <w:r>
        <w:rPr>
          <w:rFonts w:ascii="Courier New" w:cs="Courier New" w:eastAsia="Courier New" w:hAnsi="Courier New"/>
          <w:sz w:val="12"/>
          <w:szCs w:val="12"/>
          <w:color w:val="auto"/>
        </w:rPr>
        <w:t>ALEXANDER &amp; BALDWIN, INC. AND SUBSIDIARIES</w:t>
      </w:r>
    </w:p>
    <w:p>
      <w:pPr>
        <w:jc w:val="center"/>
        <w:ind w:right="5900"/>
        <w:spacing w:after="0"/>
        <w:rPr>
          <w:sz w:val="20"/>
          <w:szCs w:val="20"/>
          <w:color w:val="auto"/>
        </w:rPr>
      </w:pPr>
      <w:r>
        <w:rPr>
          <w:rFonts w:ascii="Courier New" w:cs="Courier New" w:eastAsia="Courier New" w:hAnsi="Courier New"/>
          <w:sz w:val="12"/>
          <w:szCs w:val="12"/>
          <w:color w:val="auto"/>
        </w:rPr>
        <w:t>Condensed Statements of Income</w:t>
      </w:r>
    </w:p>
    <w:p>
      <w:pPr>
        <w:jc w:val="center"/>
        <w:ind w:right="5900"/>
        <w:spacing w:after="0" w:line="237" w:lineRule="auto"/>
        <w:rPr>
          <w:sz w:val="20"/>
          <w:szCs w:val="20"/>
          <w:color w:val="auto"/>
        </w:rPr>
      </w:pPr>
      <w:r>
        <w:rPr>
          <w:rFonts w:ascii="Courier New" w:cs="Courier New" w:eastAsia="Courier New" w:hAnsi="Courier New"/>
          <w:sz w:val="12"/>
          <w:szCs w:val="12"/>
          <w:color w:val="auto"/>
        </w:rPr>
        <w:t>(In thousands, except per share amounts)</w:t>
      </w: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w w:val="98"/>
              </w:rPr>
              <w:t>Three Months Ended</w:t>
            </w:r>
          </w:p>
        </w:tc>
        <w:tc>
          <w:tcPr>
            <w:tcW w:w="240" w:type="dxa"/>
            <w:vAlign w:val="bottom"/>
          </w:tcPr>
          <w:p>
            <w:pPr>
              <w:spacing w:after="0"/>
              <w:rPr>
                <w:sz w:val="11"/>
                <w:szCs w:val="11"/>
                <w:color w:val="auto"/>
              </w:rPr>
            </w:pPr>
          </w:p>
        </w:tc>
        <w:tc>
          <w:tcPr>
            <w:tcW w:w="1960" w:type="dxa"/>
            <w:vAlign w:val="bottom"/>
            <w:gridSpan w:val="3"/>
          </w:tcPr>
          <w:p>
            <w:pPr>
              <w:jc w:val="center"/>
              <w:ind w:right="701"/>
              <w:spacing w:after="0"/>
              <w:rPr>
                <w:sz w:val="20"/>
                <w:szCs w:val="20"/>
                <w:color w:val="auto"/>
              </w:rPr>
            </w:pPr>
            <w:r>
              <w:rPr>
                <w:rFonts w:ascii="Courier New" w:cs="Courier New" w:eastAsia="Courier New" w:hAnsi="Courier New"/>
                <w:sz w:val="12"/>
                <w:szCs w:val="12"/>
                <w:color w:val="auto"/>
                <w:w w:val="97"/>
              </w:rPr>
              <w:t>Nine Months Ended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3"/>
          </w:tcPr>
          <w:p>
            <w:pPr>
              <w:ind w:left="240"/>
              <w:spacing w:after="0"/>
              <w:rPr>
                <w:sz w:val="20"/>
                <w:szCs w:val="20"/>
                <w:color w:val="auto"/>
              </w:rPr>
            </w:pPr>
            <w:r>
              <w:rPr>
                <w:rFonts w:ascii="Courier New" w:cs="Courier New" w:eastAsia="Courier New" w:hAnsi="Courier New"/>
                <w:sz w:val="12"/>
                <w:szCs w:val="12"/>
                <w:color w:val="auto"/>
              </w:rPr>
              <w:t>September 30,</w:t>
            </w:r>
          </w:p>
        </w:tc>
        <w:tc>
          <w:tcPr>
            <w:tcW w:w="240" w:type="dxa"/>
            <w:vAlign w:val="bottom"/>
          </w:tcPr>
          <w:p>
            <w:pPr>
              <w:spacing w:after="0"/>
              <w:rPr>
                <w:sz w:val="11"/>
                <w:szCs w:val="11"/>
                <w:color w:val="auto"/>
              </w:rPr>
            </w:pPr>
          </w:p>
        </w:tc>
        <w:tc>
          <w:tcPr>
            <w:tcW w:w="1960" w:type="dxa"/>
            <w:vAlign w:val="bottom"/>
            <w:gridSpan w:val="3"/>
          </w:tcPr>
          <w:p>
            <w:pPr>
              <w:jc w:val="center"/>
              <w:ind w:right="701"/>
              <w:spacing w:after="0"/>
              <w:rPr>
                <w:sz w:val="20"/>
                <w:szCs w:val="20"/>
                <w:color w:val="auto"/>
              </w:rPr>
            </w:pPr>
            <w:r>
              <w:rPr>
                <w:rFonts w:ascii="Courier New" w:cs="Courier New" w:eastAsia="Courier New" w:hAnsi="Courier New"/>
                <w:sz w:val="12"/>
                <w:szCs w:val="12"/>
                <w:color w:val="auto"/>
                <w:w w:val="98"/>
              </w:rPr>
              <w:t>September 30,</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2001</w:t>
            </w:r>
          </w:p>
        </w:tc>
        <w:tc>
          <w:tcPr>
            <w:tcW w:w="240" w:type="dxa"/>
            <w:vAlign w:val="bottom"/>
          </w:tcPr>
          <w:p>
            <w:pPr>
              <w:spacing w:after="0"/>
              <w:rPr>
                <w:sz w:val="11"/>
                <w:szCs w:val="11"/>
                <w:color w:val="auto"/>
              </w:rPr>
            </w:pPr>
          </w:p>
        </w:tc>
        <w:tc>
          <w:tcPr>
            <w:tcW w:w="6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2000</w:t>
            </w:r>
          </w:p>
        </w:tc>
        <w:tc>
          <w:tcPr>
            <w:tcW w:w="240" w:type="dxa"/>
            <w:vAlign w:val="bottom"/>
          </w:tcPr>
          <w:p>
            <w:pPr>
              <w:spacing w:after="0"/>
              <w:rPr>
                <w:sz w:val="11"/>
                <w:szCs w:val="11"/>
                <w:color w:val="auto"/>
              </w:rPr>
            </w:pPr>
          </w:p>
        </w:tc>
        <w:tc>
          <w:tcPr>
            <w:tcW w:w="6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2001</w:t>
            </w:r>
          </w:p>
        </w:tc>
        <w:tc>
          <w:tcPr>
            <w:tcW w:w="240" w:type="dxa"/>
            <w:vAlign w:val="bottom"/>
          </w:tcPr>
          <w:p>
            <w:pPr>
              <w:spacing w:after="0"/>
              <w:rPr>
                <w:sz w:val="11"/>
                <w:szCs w:val="11"/>
                <w:color w:val="auto"/>
              </w:rPr>
            </w:pPr>
          </w:p>
        </w:tc>
        <w:tc>
          <w:tcPr>
            <w:tcW w:w="1120" w:type="dxa"/>
            <w:vAlign w:val="bottom"/>
          </w:tcPr>
          <w:p>
            <w:pPr>
              <w:jc w:val="right"/>
              <w:ind w:right="781"/>
              <w:spacing w:after="0"/>
              <w:rPr>
                <w:sz w:val="20"/>
                <w:szCs w:val="20"/>
                <w:color w:val="auto"/>
              </w:rPr>
            </w:pPr>
            <w:r>
              <w:rPr>
                <w:rFonts w:ascii="Courier New" w:cs="Courier New" w:eastAsia="Courier New" w:hAnsi="Courier New"/>
                <w:sz w:val="12"/>
                <w:szCs w:val="12"/>
                <w:color w:val="auto"/>
                <w:w w:val="90"/>
              </w:rPr>
              <w:t>2000</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3"/>
          </w:tcPr>
          <w:p>
            <w:pPr>
              <w:ind w:left="240"/>
              <w:spacing w:after="0"/>
              <w:rPr>
                <w:sz w:val="20"/>
                <w:szCs w:val="20"/>
                <w:color w:val="auto"/>
              </w:rPr>
            </w:pPr>
            <w:r>
              <w:rPr>
                <w:rFonts w:ascii="Courier New" w:cs="Courier New" w:eastAsia="Courier New" w:hAnsi="Courier New"/>
                <w:sz w:val="12"/>
                <w:szCs w:val="12"/>
                <w:color w:val="auto"/>
              </w:rPr>
              <w:t>(unaudited)</w:t>
            </w:r>
          </w:p>
        </w:tc>
        <w:tc>
          <w:tcPr>
            <w:tcW w:w="240" w:type="dxa"/>
            <w:vAlign w:val="bottom"/>
          </w:tcPr>
          <w:p>
            <w:pPr>
              <w:spacing w:after="0"/>
              <w:rPr>
                <w:sz w:val="11"/>
                <w:szCs w:val="11"/>
                <w:color w:val="auto"/>
              </w:rPr>
            </w:pPr>
          </w:p>
        </w:tc>
        <w:tc>
          <w:tcPr>
            <w:tcW w:w="1960" w:type="dxa"/>
            <w:vAlign w:val="bottom"/>
            <w:gridSpan w:val="3"/>
          </w:tcPr>
          <w:p>
            <w:pPr>
              <w:jc w:val="center"/>
              <w:ind w:right="701"/>
              <w:spacing w:after="0"/>
              <w:rPr>
                <w:sz w:val="20"/>
                <w:szCs w:val="20"/>
                <w:color w:val="auto"/>
              </w:rPr>
            </w:pPr>
            <w:r>
              <w:rPr>
                <w:rFonts w:ascii="Courier New" w:cs="Courier New" w:eastAsia="Courier New" w:hAnsi="Courier New"/>
                <w:sz w:val="12"/>
                <w:szCs w:val="12"/>
                <w:color w:val="auto"/>
                <w:w w:val="95"/>
              </w:rPr>
              <w:t>(unaudited)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Revenue:</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Operating revenue</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9"/>
              </w:rPr>
              <w:t>260,701</w:t>
            </w:r>
          </w:p>
        </w:tc>
        <w:tc>
          <w:tcPr>
            <w:tcW w:w="2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1"/>
              </w:rPr>
              <w:t>280,304</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810,678</w:t>
            </w:r>
          </w:p>
        </w:tc>
        <w:tc>
          <w:tcPr>
            <w:tcW w:w="1360" w:type="dxa"/>
            <w:vAlign w:val="bottom"/>
            <w:gridSpan w:val="2"/>
          </w:tcPr>
          <w:p>
            <w:pPr>
              <w:jc w:val="right"/>
              <w:ind w:right="561"/>
              <w:spacing w:after="0"/>
              <w:rPr>
                <w:sz w:val="20"/>
                <w:szCs w:val="20"/>
                <w:color w:val="auto"/>
              </w:rPr>
            </w:pPr>
            <w:r>
              <w:rPr>
                <w:rFonts w:ascii="Courier New" w:cs="Courier New" w:eastAsia="Courier New" w:hAnsi="Courier New"/>
                <w:sz w:val="12"/>
                <w:szCs w:val="12"/>
                <w:color w:val="auto"/>
              </w:rPr>
              <w:t>$ 793,688</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Interest, dividends and other</w:t>
            </w:r>
          </w:p>
        </w:tc>
        <w:tc>
          <w:tcPr>
            <w:tcW w:w="180" w:type="dxa"/>
            <w:vAlign w:val="bottom"/>
          </w:tcPr>
          <w:p>
            <w:pPr>
              <w:spacing w:after="0"/>
              <w:rPr>
                <w:sz w:val="11"/>
                <w:szCs w:val="11"/>
                <w:color w:val="auto"/>
              </w:rPr>
            </w:pP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3,392</w:t>
            </w:r>
          </w:p>
        </w:tc>
        <w:tc>
          <w:tcPr>
            <w:tcW w:w="24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5,482</w:t>
            </w:r>
          </w:p>
        </w:tc>
        <w:tc>
          <w:tcPr>
            <w:tcW w:w="2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23,422</w:t>
            </w:r>
          </w:p>
        </w:tc>
        <w:tc>
          <w:tcPr>
            <w:tcW w:w="240" w:type="dxa"/>
            <w:vAlign w:val="bottom"/>
          </w:tcPr>
          <w:p>
            <w:pPr>
              <w:spacing w:after="0"/>
              <w:rPr>
                <w:sz w:val="11"/>
                <w:szCs w:val="11"/>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13,483</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84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20" w:type="dxa"/>
            <w:vAlign w:val="bottom"/>
          </w:tcPr>
          <w:p>
            <w:pPr>
              <w:ind w:left="560"/>
              <w:spacing w:after="0"/>
              <w:rPr>
                <w:sz w:val="20"/>
                <w:szCs w:val="20"/>
                <w:color w:val="auto"/>
              </w:rPr>
            </w:pPr>
            <w:r>
              <w:rPr>
                <w:rFonts w:ascii="Courier New" w:cs="Courier New" w:eastAsia="Courier New" w:hAnsi="Courier New"/>
                <w:sz w:val="12"/>
                <w:szCs w:val="12"/>
                <w:color w:val="auto"/>
              </w:rPr>
              <w:t>Total revenue</w:t>
            </w:r>
          </w:p>
        </w:tc>
        <w:tc>
          <w:tcPr>
            <w:tcW w:w="180" w:type="dxa"/>
            <w:vAlign w:val="bottom"/>
          </w:tcPr>
          <w:p>
            <w:pPr>
              <w:spacing w:after="0"/>
              <w:rPr>
                <w:sz w:val="11"/>
                <w:szCs w:val="11"/>
                <w:color w:val="auto"/>
              </w:rPr>
            </w:pP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9"/>
              </w:rPr>
              <w:t>264,093</w:t>
            </w:r>
          </w:p>
        </w:tc>
        <w:tc>
          <w:tcPr>
            <w:tcW w:w="24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1"/>
              </w:rPr>
              <w:t>285,786</w:t>
            </w:r>
          </w:p>
        </w:tc>
        <w:tc>
          <w:tcPr>
            <w:tcW w:w="2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834,100</w:t>
            </w:r>
          </w:p>
        </w:tc>
        <w:tc>
          <w:tcPr>
            <w:tcW w:w="240" w:type="dxa"/>
            <w:vAlign w:val="bottom"/>
          </w:tcPr>
          <w:p>
            <w:pPr>
              <w:spacing w:after="0"/>
              <w:rPr>
                <w:sz w:val="11"/>
                <w:szCs w:val="11"/>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w w:val="95"/>
              </w:rPr>
              <w:t>807,171</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84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Costs and Expenses:</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w w:val="98"/>
              </w:rPr>
              <w:t>Costs of goods sold, services and rentals</w:t>
            </w:r>
          </w:p>
        </w:tc>
        <w:tc>
          <w:tcPr>
            <w:tcW w:w="180" w:type="dxa"/>
            <w:vAlign w:val="bottom"/>
          </w:tcPr>
          <w:p>
            <w:pPr>
              <w:spacing w:after="0"/>
              <w:rPr>
                <w:sz w:val="11"/>
                <w:szCs w:val="11"/>
                <w:color w:val="auto"/>
              </w:rPr>
            </w:pP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9"/>
              </w:rPr>
              <w:t>208,714</w:t>
            </w:r>
          </w:p>
        </w:tc>
        <w:tc>
          <w:tcPr>
            <w:tcW w:w="24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1"/>
              </w:rPr>
              <w:t>223,610</w:t>
            </w:r>
          </w:p>
        </w:tc>
        <w:tc>
          <w:tcPr>
            <w:tcW w:w="2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644,102</w:t>
            </w:r>
          </w:p>
        </w:tc>
        <w:tc>
          <w:tcPr>
            <w:tcW w:w="240" w:type="dxa"/>
            <w:vAlign w:val="bottom"/>
          </w:tcPr>
          <w:p>
            <w:pPr>
              <w:spacing w:after="0"/>
              <w:rPr>
                <w:sz w:val="11"/>
                <w:szCs w:val="11"/>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w w:val="95"/>
              </w:rPr>
              <w:t>624,672</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Selling, general and administrative</w:t>
            </w:r>
          </w:p>
        </w:tc>
        <w:tc>
          <w:tcPr>
            <w:tcW w:w="180" w:type="dxa"/>
            <w:vAlign w:val="bottom"/>
          </w:tcPr>
          <w:p>
            <w:pPr>
              <w:spacing w:after="0"/>
              <w:rPr>
                <w:sz w:val="11"/>
                <w:szCs w:val="11"/>
                <w:color w:val="auto"/>
              </w:rPr>
            </w:pP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23,572</w:t>
            </w:r>
          </w:p>
        </w:tc>
        <w:tc>
          <w:tcPr>
            <w:tcW w:w="24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21,877</w:t>
            </w:r>
          </w:p>
        </w:tc>
        <w:tc>
          <w:tcPr>
            <w:tcW w:w="2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73,020</w:t>
            </w:r>
          </w:p>
        </w:tc>
        <w:tc>
          <w:tcPr>
            <w:tcW w:w="240" w:type="dxa"/>
            <w:vAlign w:val="bottom"/>
          </w:tcPr>
          <w:p>
            <w:pPr>
              <w:spacing w:after="0"/>
              <w:rPr>
                <w:sz w:val="11"/>
                <w:szCs w:val="11"/>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64,712</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Interest</w:t>
            </w:r>
          </w:p>
        </w:tc>
        <w:tc>
          <w:tcPr>
            <w:tcW w:w="180" w:type="dxa"/>
            <w:vAlign w:val="bottom"/>
          </w:tcPr>
          <w:p>
            <w:pPr>
              <w:spacing w:after="0"/>
              <w:rPr>
                <w:sz w:val="11"/>
                <w:szCs w:val="11"/>
                <w:color w:val="auto"/>
              </w:rPr>
            </w:pP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4,330</w:t>
            </w:r>
          </w:p>
        </w:tc>
        <w:tc>
          <w:tcPr>
            <w:tcW w:w="24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6,661</w:t>
            </w:r>
          </w:p>
        </w:tc>
        <w:tc>
          <w:tcPr>
            <w:tcW w:w="2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14,979</w:t>
            </w:r>
          </w:p>
        </w:tc>
        <w:tc>
          <w:tcPr>
            <w:tcW w:w="240" w:type="dxa"/>
            <w:vAlign w:val="bottom"/>
          </w:tcPr>
          <w:p>
            <w:pPr>
              <w:spacing w:after="0"/>
              <w:rPr>
                <w:sz w:val="11"/>
                <w:szCs w:val="11"/>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17,967</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Income taxes</w:t>
            </w:r>
          </w:p>
        </w:tc>
        <w:tc>
          <w:tcPr>
            <w:tcW w:w="180" w:type="dxa"/>
            <w:vAlign w:val="bottom"/>
          </w:tcPr>
          <w:p>
            <w:pPr>
              <w:spacing w:after="0"/>
              <w:rPr>
                <w:sz w:val="11"/>
                <w:szCs w:val="11"/>
                <w:color w:val="auto"/>
              </w:rPr>
            </w:pP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10,165</w:t>
            </w:r>
          </w:p>
        </w:tc>
        <w:tc>
          <w:tcPr>
            <w:tcW w:w="24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12,284</w:t>
            </w:r>
          </w:p>
        </w:tc>
        <w:tc>
          <w:tcPr>
            <w:tcW w:w="2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37,739</w:t>
            </w:r>
          </w:p>
        </w:tc>
        <w:tc>
          <w:tcPr>
            <w:tcW w:w="240" w:type="dxa"/>
            <w:vAlign w:val="bottom"/>
          </w:tcPr>
          <w:p>
            <w:pPr>
              <w:spacing w:after="0"/>
              <w:rPr>
                <w:sz w:val="11"/>
                <w:szCs w:val="11"/>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36,042</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84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20" w:type="dxa"/>
            <w:vAlign w:val="bottom"/>
          </w:tcPr>
          <w:p>
            <w:pPr>
              <w:ind w:left="560"/>
              <w:spacing w:after="0"/>
              <w:rPr>
                <w:sz w:val="20"/>
                <w:szCs w:val="20"/>
                <w:color w:val="auto"/>
              </w:rPr>
            </w:pPr>
            <w:r>
              <w:rPr>
                <w:rFonts w:ascii="Courier New" w:cs="Courier New" w:eastAsia="Courier New" w:hAnsi="Courier New"/>
                <w:sz w:val="12"/>
                <w:szCs w:val="12"/>
                <w:color w:val="auto"/>
              </w:rPr>
              <w:t>Total costs and expenses</w:t>
            </w:r>
          </w:p>
        </w:tc>
        <w:tc>
          <w:tcPr>
            <w:tcW w:w="180" w:type="dxa"/>
            <w:vAlign w:val="bottom"/>
          </w:tcPr>
          <w:p>
            <w:pPr>
              <w:spacing w:after="0"/>
              <w:rPr>
                <w:sz w:val="11"/>
                <w:szCs w:val="11"/>
                <w:color w:val="auto"/>
              </w:rPr>
            </w:pP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9"/>
              </w:rPr>
              <w:t>246,781</w:t>
            </w:r>
          </w:p>
        </w:tc>
        <w:tc>
          <w:tcPr>
            <w:tcW w:w="24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1"/>
              </w:rPr>
              <w:t>264,432</w:t>
            </w:r>
          </w:p>
        </w:tc>
        <w:tc>
          <w:tcPr>
            <w:tcW w:w="2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769,840</w:t>
            </w:r>
          </w:p>
        </w:tc>
        <w:tc>
          <w:tcPr>
            <w:tcW w:w="240" w:type="dxa"/>
            <w:vAlign w:val="bottom"/>
          </w:tcPr>
          <w:p>
            <w:pPr>
              <w:spacing w:after="0"/>
              <w:rPr>
                <w:sz w:val="11"/>
                <w:szCs w:val="11"/>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w w:val="95"/>
              </w:rPr>
              <w:t>743,393</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84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2"/>
                <w:szCs w:val="12"/>
                <w:color w:val="auto"/>
              </w:rPr>
              <w:t>Income Before Cumulative Effect of Change</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5"/>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in Accounting Method</w:t>
            </w:r>
          </w:p>
        </w:tc>
        <w:tc>
          <w:tcPr>
            <w:tcW w:w="180" w:type="dxa"/>
            <w:vAlign w:val="bottom"/>
          </w:tcPr>
          <w:p>
            <w:pPr>
              <w:spacing w:after="0"/>
              <w:rPr>
                <w:sz w:val="11"/>
                <w:szCs w:val="11"/>
                <w:color w:val="auto"/>
              </w:rPr>
            </w:pP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17,312</w:t>
            </w:r>
          </w:p>
        </w:tc>
        <w:tc>
          <w:tcPr>
            <w:tcW w:w="24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21,354</w:t>
            </w:r>
          </w:p>
        </w:tc>
        <w:tc>
          <w:tcPr>
            <w:tcW w:w="2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64,260</w:t>
            </w:r>
          </w:p>
        </w:tc>
        <w:tc>
          <w:tcPr>
            <w:tcW w:w="240" w:type="dxa"/>
            <w:vAlign w:val="bottom"/>
          </w:tcPr>
          <w:p>
            <w:pPr>
              <w:spacing w:after="0"/>
              <w:rPr>
                <w:sz w:val="11"/>
                <w:szCs w:val="11"/>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63,778</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Cumulative Effect of Change in Accounting</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Method for Drydocking Costs (net of</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income taxes of $7,668, Note d)</w:t>
            </w:r>
          </w:p>
        </w:tc>
        <w:tc>
          <w:tcPr>
            <w:tcW w:w="180" w:type="dxa"/>
            <w:vAlign w:val="bottom"/>
          </w:tcPr>
          <w:p>
            <w:pPr>
              <w:spacing w:after="0"/>
              <w:rPr>
                <w:sz w:val="11"/>
                <w:szCs w:val="11"/>
                <w:color w:val="auto"/>
              </w:rPr>
            </w:pP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12,250</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84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17,312</w:t>
            </w:r>
          </w:p>
        </w:tc>
        <w:tc>
          <w:tcPr>
            <w:tcW w:w="2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21,354</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64,260</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76,028</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84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Basic Earnings Per Share:</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Before cumulative effect of accounting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ind w:left="560"/>
              <w:spacing w:after="0"/>
              <w:rPr>
                <w:sz w:val="20"/>
                <w:szCs w:val="20"/>
                <w:color w:val="auto"/>
              </w:rPr>
            </w:pPr>
            <w:r>
              <w:rPr>
                <w:rFonts w:ascii="Courier New" w:cs="Courier New" w:eastAsia="Courier New" w:hAnsi="Courier New"/>
                <w:sz w:val="12"/>
                <w:szCs w:val="12"/>
                <w:color w:val="auto"/>
              </w:rPr>
              <w:t>change</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0.42</w:t>
            </w:r>
          </w:p>
        </w:tc>
        <w:tc>
          <w:tcPr>
            <w:tcW w:w="3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0.53</w:t>
            </w:r>
          </w:p>
        </w:tc>
        <w:tc>
          <w:tcPr>
            <w:tcW w:w="3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1.58</w:t>
            </w:r>
          </w:p>
        </w:tc>
        <w:tc>
          <w:tcPr>
            <w:tcW w:w="2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1.55</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ind w:left="280"/>
              <w:spacing w:after="0"/>
              <w:rPr>
                <w:sz w:val="20"/>
                <w:szCs w:val="20"/>
                <w:color w:val="auto"/>
              </w:rPr>
            </w:pPr>
            <w:r>
              <w:rPr>
                <w:rFonts w:ascii="Courier New" w:cs="Courier New" w:eastAsia="Courier New" w:hAnsi="Courier New"/>
                <w:sz w:val="12"/>
                <w:szCs w:val="12"/>
                <w:color w:val="auto"/>
              </w:rPr>
              <w:t>Accounting change (Note d)</w:t>
            </w:r>
          </w:p>
        </w:tc>
        <w:tc>
          <w:tcPr>
            <w:tcW w:w="180" w:type="dxa"/>
            <w:vAlign w:val="bottom"/>
          </w:tcPr>
          <w:p>
            <w:pPr>
              <w:spacing w:after="0"/>
              <w:rPr>
                <w:sz w:val="11"/>
                <w:szCs w:val="11"/>
                <w:color w:val="auto"/>
              </w:rPr>
            </w:pPr>
          </w:p>
        </w:tc>
        <w:tc>
          <w:tcPr>
            <w:tcW w:w="6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0.30</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240"/>
              <w:spacing w:after="0"/>
              <w:rPr>
                <w:sz w:val="20"/>
                <w:szCs w:val="20"/>
                <w:color w:val="auto"/>
              </w:rPr>
            </w:pPr>
            <w:r>
              <w:rPr>
                <w:rFonts w:ascii="Courier New" w:cs="Courier New" w:eastAsia="Courier New" w:hAnsi="Courier New"/>
                <w:sz w:val="12"/>
                <w:szCs w:val="12"/>
                <w:color w:val="auto"/>
                <w:w w:val="95"/>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bl>
    <w:p>
      <w:pPr>
        <w:sectPr>
          <w:pgSz w:w="11900" w:h="16875" w:orient="portrait"/>
          <w:cols w:equalWidth="0" w:num="1">
            <w:col w:w="11520"/>
          </w:cols>
          <w:pgMar w:left="220" w:top="209" w:right="15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20" w:type="dxa"/>
            <w:vAlign w:val="bottom"/>
          </w:tcPr>
          <w:p>
            <w:pPr>
              <w:ind w:left="280"/>
              <w:spacing w:after="0"/>
              <w:rPr>
                <w:sz w:val="20"/>
                <w:szCs w:val="20"/>
                <w:color w:val="auto"/>
              </w:rPr>
            </w:pPr>
            <w:r>
              <w:rPr>
                <w:rFonts w:ascii="Courier New" w:cs="Courier New" w:eastAsia="Courier New" w:hAnsi="Courier New"/>
                <w:sz w:val="12"/>
                <w:szCs w:val="12"/>
                <w:color w:val="auto"/>
              </w:rPr>
              <w:t>Net income</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0.42</w:t>
            </w:r>
          </w:p>
        </w:tc>
        <w:tc>
          <w:tcPr>
            <w:tcW w:w="2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0.53</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1.58</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1.85</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120" w:type="dxa"/>
            <w:vAlign w:val="bottom"/>
          </w:tcPr>
          <w:p>
            <w:pPr>
              <w:spacing w:after="0"/>
              <w:rPr>
                <w:sz w:val="20"/>
                <w:szCs w:val="20"/>
                <w:color w:val="auto"/>
              </w:rPr>
            </w:pPr>
            <w:r>
              <w:rPr>
                <w:rFonts w:ascii="Courier New" w:cs="Courier New" w:eastAsia="Courier New" w:hAnsi="Courier New"/>
                <w:sz w:val="12"/>
                <w:szCs w:val="12"/>
                <w:color w:val="auto"/>
              </w:rPr>
              <w:t>Diluted Earnings Per Share:</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20" w:type="dxa"/>
            <w:vAlign w:val="bottom"/>
          </w:tcPr>
          <w:p>
            <w:pPr>
              <w:ind w:left="280"/>
              <w:spacing w:after="0"/>
              <w:rPr>
                <w:sz w:val="20"/>
                <w:szCs w:val="20"/>
                <w:color w:val="auto"/>
              </w:rPr>
            </w:pPr>
            <w:r>
              <w:rPr>
                <w:rFonts w:ascii="Courier New" w:cs="Courier New" w:eastAsia="Courier New" w:hAnsi="Courier New"/>
                <w:sz w:val="12"/>
                <w:szCs w:val="12"/>
                <w:color w:val="auto"/>
              </w:rPr>
              <w:t>Before cumulative effect of accounting</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20" w:type="dxa"/>
            <w:vAlign w:val="bottom"/>
          </w:tcPr>
          <w:p>
            <w:pPr>
              <w:ind w:left="560"/>
              <w:spacing w:after="0"/>
              <w:rPr>
                <w:sz w:val="20"/>
                <w:szCs w:val="20"/>
                <w:color w:val="auto"/>
              </w:rPr>
            </w:pPr>
            <w:r>
              <w:rPr>
                <w:rFonts w:ascii="Courier New" w:cs="Courier New" w:eastAsia="Courier New" w:hAnsi="Courier New"/>
                <w:sz w:val="12"/>
                <w:szCs w:val="12"/>
                <w:color w:val="auto"/>
              </w:rPr>
              <w:t>change</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0.42</w:t>
            </w:r>
          </w:p>
        </w:tc>
        <w:tc>
          <w:tcPr>
            <w:tcW w:w="3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0.52</w:t>
            </w:r>
          </w:p>
        </w:tc>
        <w:tc>
          <w:tcPr>
            <w:tcW w:w="3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1.58</w:t>
            </w:r>
          </w:p>
        </w:tc>
        <w:tc>
          <w:tcPr>
            <w:tcW w:w="3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1.55</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20" w:type="dxa"/>
            <w:vAlign w:val="bottom"/>
          </w:tcPr>
          <w:p>
            <w:pPr>
              <w:ind w:left="280"/>
              <w:spacing w:after="0"/>
              <w:rPr>
                <w:sz w:val="20"/>
                <w:szCs w:val="20"/>
                <w:color w:val="auto"/>
              </w:rPr>
            </w:pPr>
            <w:r>
              <w:rPr>
                <w:rFonts w:ascii="Courier New" w:cs="Courier New" w:eastAsia="Courier New" w:hAnsi="Courier New"/>
                <w:sz w:val="12"/>
                <w:szCs w:val="12"/>
                <w:color w:val="auto"/>
              </w:rPr>
              <w:t>Accounting change (Note d)</w:t>
            </w:r>
          </w:p>
        </w:tc>
        <w:tc>
          <w:tcPr>
            <w:tcW w:w="32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0.30</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120" w:type="dxa"/>
            <w:vAlign w:val="bottom"/>
          </w:tcPr>
          <w:p>
            <w:pPr>
              <w:ind w:left="280"/>
              <w:spacing w:after="0"/>
              <w:rPr>
                <w:sz w:val="20"/>
                <w:szCs w:val="20"/>
                <w:color w:val="auto"/>
              </w:rPr>
            </w:pPr>
            <w:r>
              <w:rPr>
                <w:rFonts w:ascii="Courier New" w:cs="Courier New" w:eastAsia="Courier New" w:hAnsi="Courier New"/>
                <w:sz w:val="12"/>
                <w:szCs w:val="12"/>
                <w:color w:val="auto"/>
              </w:rPr>
              <w:t>Net income</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0.42</w:t>
            </w:r>
          </w:p>
        </w:tc>
        <w:tc>
          <w:tcPr>
            <w:tcW w:w="2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0.52</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1.58</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1.85</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120" w:type="dxa"/>
            <w:vAlign w:val="bottom"/>
          </w:tcPr>
          <w:p>
            <w:pPr>
              <w:spacing w:after="0"/>
              <w:rPr>
                <w:sz w:val="20"/>
                <w:szCs w:val="20"/>
                <w:color w:val="auto"/>
              </w:rPr>
            </w:pPr>
            <w:r>
              <w:rPr>
                <w:rFonts w:ascii="Courier New" w:cs="Courier New" w:eastAsia="Courier New" w:hAnsi="Courier New"/>
                <w:sz w:val="12"/>
                <w:szCs w:val="12"/>
                <w:color w:val="auto"/>
              </w:rPr>
              <w:t>Dividends Per Share</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0.225</w:t>
            </w:r>
          </w:p>
        </w:tc>
        <w:tc>
          <w:tcPr>
            <w:tcW w:w="2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0.225</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0.675</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0.675</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3120" w:type="dxa"/>
            <w:vAlign w:val="bottom"/>
          </w:tcPr>
          <w:p>
            <w:pPr>
              <w:spacing w:after="0"/>
              <w:rPr>
                <w:sz w:val="20"/>
                <w:szCs w:val="20"/>
                <w:color w:val="auto"/>
              </w:rPr>
            </w:pPr>
            <w:r>
              <w:rPr>
                <w:rFonts w:ascii="Courier New" w:cs="Courier New" w:eastAsia="Courier New" w:hAnsi="Courier New"/>
                <w:sz w:val="12"/>
                <w:szCs w:val="12"/>
                <w:color w:val="auto"/>
              </w:rPr>
              <w:t>Average Number of Shares Outstanding</w:t>
            </w:r>
          </w:p>
        </w:tc>
        <w:tc>
          <w:tcPr>
            <w:tcW w:w="320" w:type="dxa"/>
            <w:vAlign w:val="bottom"/>
          </w:tcPr>
          <w:p>
            <w:pPr>
              <w:spacing w:after="0"/>
              <w:rPr>
                <w:sz w:val="23"/>
                <w:szCs w:val="23"/>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40,567</w:t>
            </w:r>
          </w:p>
        </w:tc>
        <w:tc>
          <w:tcPr>
            <w:tcW w:w="240" w:type="dxa"/>
            <w:vAlign w:val="bottom"/>
          </w:tcPr>
          <w:p>
            <w:pPr>
              <w:spacing w:after="0"/>
              <w:rPr>
                <w:sz w:val="23"/>
                <w:szCs w:val="23"/>
                <w:color w:val="auto"/>
              </w:rPr>
            </w:pPr>
          </w:p>
        </w:tc>
        <w:tc>
          <w:tcPr>
            <w:tcW w:w="6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40,439</w:t>
            </w:r>
          </w:p>
        </w:tc>
        <w:tc>
          <w:tcPr>
            <w:tcW w:w="24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40,548</w:t>
            </w:r>
          </w:p>
        </w:tc>
        <w:tc>
          <w:tcPr>
            <w:tcW w:w="240" w:type="dxa"/>
            <w:vAlign w:val="bottom"/>
          </w:tcPr>
          <w:p>
            <w:pPr>
              <w:spacing w:after="0"/>
              <w:rPr>
                <w:sz w:val="23"/>
                <w:szCs w:val="23"/>
                <w:color w:val="auto"/>
              </w:rPr>
            </w:pPr>
          </w:p>
        </w:tc>
        <w:tc>
          <w:tcPr>
            <w:tcW w:w="11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41,095</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ectPr>
          <w:pgSz w:w="11900" w:h="16838" w:orient="portrait"/>
          <w:cols w:equalWidth="0" w:num="1">
            <w:col w:w="11520"/>
          </w:cols>
          <w:pgMar w:left="220" w:top="137" w:right="159" w:bottom="1440" w:gutter="0" w:footer="0" w:header="0"/>
        </w:sectPr>
      </w:pPr>
    </w:p>
    <w:bookmarkStart w:id="2" w:name="page3"/>
    <w:bookmarkEnd w:id="2"/>
    <w:p>
      <w:pPr>
        <w:ind w:left="1260"/>
        <w:spacing w:after="0"/>
        <w:rPr>
          <w:sz w:val="20"/>
          <w:szCs w:val="20"/>
          <w:color w:val="auto"/>
        </w:rPr>
      </w:pPr>
      <w:r>
        <w:rPr>
          <w:rFonts w:ascii="Courier New" w:cs="Courier New" w:eastAsia="Courier New" w:hAnsi="Courier New"/>
          <w:sz w:val="12"/>
          <w:szCs w:val="12"/>
          <w:color w:val="auto"/>
        </w:rPr>
        <w:t>ALEXANDER &amp; BALDWIN, INC. AND SUBSIDIARIES</w:t>
      </w:r>
    </w:p>
    <w:p>
      <w:pPr>
        <w:ind w:left="1600"/>
        <w:spacing w:after="0"/>
        <w:rPr>
          <w:sz w:val="20"/>
          <w:szCs w:val="20"/>
          <w:color w:val="auto"/>
        </w:rPr>
      </w:pPr>
      <w:r>
        <w:rPr>
          <w:rFonts w:ascii="Courier New" w:cs="Courier New" w:eastAsia="Courier New" w:hAnsi="Courier New"/>
          <w:sz w:val="12"/>
          <w:szCs w:val="12"/>
          <w:color w:val="auto"/>
        </w:rPr>
        <w:t>Industry Segment Data, Net Income</w:t>
      </w:r>
    </w:p>
    <w:tbl>
      <w:tblPr>
        <w:tblLayout w:type="fixed"/>
        <w:tblInd w:w="0" w:type="dxa"/>
        <w:tblCellMar>
          <w:top w:w="0" w:type="dxa"/>
          <w:left w:w="0" w:type="dxa"/>
          <w:bottom w:w="0" w:type="dxa"/>
          <w:right w:w="0" w:type="dxa"/>
        </w:tblCellMar>
      </w:tblPr>
      <w:tr>
        <w:trPr>
          <w:trHeight w:val="134"/>
        </w:trPr>
        <w:tc>
          <w:tcPr>
            <w:tcW w:w="3300" w:type="dxa"/>
            <w:vAlign w:val="bottom"/>
          </w:tcPr>
          <w:p>
            <w:pPr>
              <w:ind w:left="2320"/>
              <w:spacing w:after="0" w:line="135" w:lineRule="exact"/>
              <w:rPr>
                <w:sz w:val="20"/>
                <w:szCs w:val="20"/>
                <w:color w:val="auto"/>
              </w:rPr>
            </w:pPr>
            <w:r>
              <w:rPr>
                <w:rFonts w:ascii="Courier New" w:cs="Courier New" w:eastAsia="Courier New" w:hAnsi="Courier New"/>
                <w:sz w:val="12"/>
                <w:szCs w:val="12"/>
                <w:color w:val="auto"/>
                <w:w w:val="95"/>
              </w:rPr>
              <w:t>(In thousands)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405"/>
        </w:trPr>
        <w:tc>
          <w:tcPr>
            <w:tcW w:w="3300" w:type="dxa"/>
            <w:vAlign w:val="bottom"/>
          </w:tcPr>
          <w:p>
            <w:pPr>
              <w:spacing w:after="0"/>
              <w:rPr>
                <w:sz w:val="24"/>
                <w:szCs w:val="24"/>
                <w:color w:val="auto"/>
              </w:rPr>
            </w:pPr>
          </w:p>
        </w:tc>
        <w:tc>
          <w:tcPr>
            <w:tcW w:w="16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Three Months Ended</w:t>
            </w:r>
          </w:p>
        </w:tc>
        <w:tc>
          <w:tcPr>
            <w:tcW w:w="220" w:type="dxa"/>
            <w:vAlign w:val="bottom"/>
          </w:tcPr>
          <w:p>
            <w:pPr>
              <w:spacing w:after="0"/>
              <w:rPr>
                <w:sz w:val="24"/>
                <w:szCs w:val="24"/>
                <w:color w:val="auto"/>
              </w:rPr>
            </w:pPr>
          </w:p>
        </w:tc>
        <w:tc>
          <w:tcPr>
            <w:tcW w:w="1260" w:type="dxa"/>
            <w:vAlign w:val="bottom"/>
            <w:gridSpan w:val="4"/>
          </w:tcPr>
          <w:p>
            <w:pPr>
              <w:jc w:val="center"/>
              <w:ind w:right="1"/>
              <w:spacing w:after="0"/>
              <w:rPr>
                <w:sz w:val="20"/>
                <w:szCs w:val="20"/>
                <w:color w:val="auto"/>
              </w:rPr>
            </w:pPr>
            <w:r>
              <w:rPr>
                <w:rFonts w:ascii="Courier New" w:cs="Courier New" w:eastAsia="Courier New" w:hAnsi="Courier New"/>
                <w:sz w:val="12"/>
                <w:szCs w:val="12"/>
                <w:color w:val="auto"/>
                <w:w w:val="97"/>
              </w:rPr>
              <w:t>Nine Months Ended</w:t>
            </w: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5"/>
        </w:trPr>
        <w:tc>
          <w:tcPr>
            <w:tcW w:w="3300" w:type="dxa"/>
            <w:vAlign w:val="bottom"/>
          </w:tcPr>
          <w:p>
            <w:pPr>
              <w:spacing w:after="0"/>
              <w:rPr>
                <w:sz w:val="11"/>
                <w:szCs w:val="11"/>
                <w:color w:val="auto"/>
              </w:rPr>
            </w:pPr>
          </w:p>
        </w:tc>
        <w:tc>
          <w:tcPr>
            <w:tcW w:w="1600" w:type="dxa"/>
            <w:vAlign w:val="bottom"/>
            <w:gridSpan w:val="3"/>
          </w:tcPr>
          <w:p>
            <w:pPr>
              <w:jc w:val="right"/>
              <w:ind w:right="361"/>
              <w:spacing w:after="0"/>
              <w:rPr>
                <w:sz w:val="20"/>
                <w:szCs w:val="20"/>
                <w:color w:val="auto"/>
              </w:rPr>
            </w:pPr>
            <w:r>
              <w:rPr>
                <w:rFonts w:ascii="Courier New" w:cs="Courier New" w:eastAsia="Courier New" w:hAnsi="Courier New"/>
                <w:sz w:val="12"/>
                <w:szCs w:val="12"/>
                <w:color w:val="auto"/>
              </w:rPr>
              <w:t>September 30,</w:t>
            </w:r>
          </w:p>
        </w:tc>
        <w:tc>
          <w:tcPr>
            <w:tcW w:w="220" w:type="dxa"/>
            <w:vAlign w:val="bottom"/>
          </w:tcPr>
          <w:p>
            <w:pPr>
              <w:spacing w:after="0"/>
              <w:rPr>
                <w:sz w:val="11"/>
                <w:szCs w:val="11"/>
                <w:color w:val="auto"/>
              </w:rPr>
            </w:pPr>
          </w:p>
        </w:tc>
        <w:tc>
          <w:tcPr>
            <w:tcW w:w="1260" w:type="dxa"/>
            <w:vAlign w:val="bottom"/>
            <w:gridSpan w:val="4"/>
          </w:tcPr>
          <w:p>
            <w:pPr>
              <w:jc w:val="center"/>
              <w:ind w:right="1"/>
              <w:spacing w:after="0"/>
              <w:rPr>
                <w:sz w:val="20"/>
                <w:szCs w:val="20"/>
                <w:color w:val="auto"/>
              </w:rPr>
            </w:pPr>
            <w:r>
              <w:rPr>
                <w:rFonts w:ascii="Courier New" w:cs="Courier New" w:eastAsia="Courier New" w:hAnsi="Courier New"/>
                <w:sz w:val="12"/>
                <w:szCs w:val="12"/>
                <w:color w:val="auto"/>
                <w:w w:val="98"/>
              </w:rPr>
              <w:t>September 30,</w:t>
            </w:r>
          </w:p>
        </w:tc>
        <w:tc>
          <w:tcPr>
            <w:tcW w:w="2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7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2001</w:t>
            </w:r>
          </w:p>
        </w:tc>
        <w:tc>
          <w:tcPr>
            <w:tcW w:w="84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2000</w:t>
            </w:r>
          </w:p>
        </w:tc>
        <w:tc>
          <w:tcPr>
            <w:tcW w:w="2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2001</w:t>
            </w:r>
          </w:p>
        </w:tc>
        <w:tc>
          <w:tcPr>
            <w:tcW w:w="240" w:type="dxa"/>
            <w:vAlign w:val="bottom"/>
          </w:tcPr>
          <w:p>
            <w:pPr>
              <w:spacing w:after="0"/>
              <w:rPr>
                <w:sz w:val="11"/>
                <w:szCs w:val="11"/>
                <w:color w:val="auto"/>
              </w:rPr>
            </w:pPr>
          </w:p>
        </w:tc>
        <w:tc>
          <w:tcPr>
            <w:tcW w:w="66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2000</w:t>
            </w:r>
          </w:p>
        </w:tc>
        <w:tc>
          <w:tcPr>
            <w:tcW w:w="2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1600" w:type="dxa"/>
            <w:vAlign w:val="bottom"/>
            <w:gridSpan w:val="3"/>
          </w:tcPr>
          <w:p>
            <w:pPr>
              <w:jc w:val="right"/>
              <w:ind w:right="421"/>
              <w:spacing w:after="0"/>
              <w:rPr>
                <w:sz w:val="20"/>
                <w:szCs w:val="20"/>
                <w:color w:val="auto"/>
              </w:rPr>
            </w:pPr>
            <w:r>
              <w:rPr>
                <w:rFonts w:ascii="Courier New" w:cs="Courier New" w:eastAsia="Courier New" w:hAnsi="Courier New"/>
                <w:sz w:val="12"/>
                <w:szCs w:val="12"/>
                <w:color w:val="auto"/>
              </w:rPr>
              <w:t>(unaudited)</w:t>
            </w:r>
          </w:p>
        </w:tc>
        <w:tc>
          <w:tcPr>
            <w:tcW w:w="220" w:type="dxa"/>
            <w:vAlign w:val="bottom"/>
          </w:tcPr>
          <w:p>
            <w:pPr>
              <w:spacing w:after="0"/>
              <w:rPr>
                <w:sz w:val="11"/>
                <w:szCs w:val="11"/>
                <w:color w:val="auto"/>
              </w:rPr>
            </w:pPr>
          </w:p>
        </w:tc>
        <w:tc>
          <w:tcPr>
            <w:tcW w:w="1260" w:type="dxa"/>
            <w:vAlign w:val="bottom"/>
            <w:gridSpan w:val="4"/>
          </w:tcPr>
          <w:p>
            <w:pPr>
              <w:jc w:val="center"/>
              <w:ind w:right="1"/>
              <w:spacing w:after="0"/>
              <w:rPr>
                <w:sz w:val="20"/>
                <w:szCs w:val="20"/>
                <w:color w:val="auto"/>
              </w:rPr>
            </w:pPr>
            <w:r>
              <w:rPr>
                <w:rFonts w:ascii="Courier New" w:cs="Courier New" w:eastAsia="Courier New" w:hAnsi="Courier New"/>
                <w:sz w:val="12"/>
                <w:szCs w:val="12"/>
                <w:color w:val="auto"/>
                <w:w w:val="95"/>
              </w:rPr>
              <w:t>(unaudited)</w:t>
            </w:r>
          </w:p>
        </w:tc>
        <w:tc>
          <w:tcPr>
            <w:tcW w:w="2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rPr>
              <w:t>Revenue:</w:t>
            </w: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Ocean Transportation</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$ 207,828</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$ 220,759</w:t>
            </w:r>
          </w:p>
        </w:tc>
        <w:tc>
          <w:tcPr>
            <w:tcW w:w="2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607,649</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w w:val="95"/>
              </w:rPr>
              <w:t>634,568</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Property Development and Management:</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560"/>
              <w:spacing w:after="0"/>
              <w:rPr>
                <w:sz w:val="20"/>
                <w:szCs w:val="20"/>
                <w:color w:val="auto"/>
              </w:rPr>
            </w:pPr>
            <w:r>
              <w:rPr>
                <w:rFonts w:ascii="Courier New" w:cs="Courier New" w:eastAsia="Courier New" w:hAnsi="Courier New"/>
                <w:sz w:val="12"/>
                <w:szCs w:val="12"/>
                <w:color w:val="auto"/>
              </w:rPr>
              <w:t>Leasing</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18,103</w:t>
            </w:r>
          </w:p>
        </w:tc>
        <w:tc>
          <w:tcPr>
            <w:tcW w:w="22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15,522</w:t>
            </w:r>
          </w:p>
        </w:tc>
        <w:tc>
          <w:tcPr>
            <w:tcW w:w="220" w:type="dxa"/>
            <w:vAlign w:val="bottom"/>
          </w:tcPr>
          <w:p>
            <w:pPr>
              <w:spacing w:after="0"/>
              <w:rPr>
                <w:sz w:val="11"/>
                <w:szCs w:val="11"/>
                <w:color w:val="auto"/>
              </w:rPr>
            </w:pP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52,689</w:t>
            </w:r>
          </w:p>
        </w:tc>
        <w:tc>
          <w:tcPr>
            <w:tcW w:w="240" w:type="dxa"/>
            <w:vAlign w:val="bottom"/>
          </w:tcPr>
          <w:p>
            <w:pPr>
              <w:spacing w:after="0"/>
              <w:rPr>
                <w:sz w:val="11"/>
                <w:szCs w:val="11"/>
                <w:color w:val="auto"/>
              </w:rPr>
            </w:pP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rPr>
              <w:t>45,327</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560"/>
              <w:spacing w:after="0"/>
              <w:rPr>
                <w:sz w:val="20"/>
                <w:szCs w:val="20"/>
                <w:color w:val="auto"/>
              </w:rPr>
            </w:pPr>
            <w:r>
              <w:rPr>
                <w:rFonts w:ascii="Courier New" w:cs="Courier New" w:eastAsia="Courier New" w:hAnsi="Courier New"/>
                <w:sz w:val="12"/>
                <w:szCs w:val="12"/>
                <w:color w:val="auto"/>
              </w:rPr>
              <w:t>Sales</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5,063</w:t>
            </w:r>
          </w:p>
        </w:tc>
        <w:tc>
          <w:tcPr>
            <w:tcW w:w="22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14,435</w:t>
            </w:r>
          </w:p>
        </w:tc>
        <w:tc>
          <w:tcPr>
            <w:tcW w:w="220" w:type="dxa"/>
            <w:vAlign w:val="bottom"/>
          </w:tcPr>
          <w:p>
            <w:pPr>
              <w:spacing w:after="0"/>
              <w:rPr>
                <w:sz w:val="11"/>
                <w:szCs w:val="11"/>
                <w:color w:val="auto"/>
              </w:rPr>
            </w:pP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77,302</w:t>
            </w:r>
          </w:p>
        </w:tc>
        <w:tc>
          <w:tcPr>
            <w:tcW w:w="240" w:type="dxa"/>
            <w:vAlign w:val="bottom"/>
          </w:tcPr>
          <w:p>
            <w:pPr>
              <w:spacing w:after="0"/>
              <w:rPr>
                <w:sz w:val="11"/>
                <w:szCs w:val="11"/>
                <w:color w:val="auto"/>
              </w:rPr>
            </w:pP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rPr>
              <w:t>42,474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Food Products</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32,296</w:t>
            </w:r>
          </w:p>
        </w:tc>
        <w:tc>
          <w:tcPr>
            <w:tcW w:w="22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34,294</w:t>
            </w:r>
          </w:p>
        </w:tc>
        <w:tc>
          <w:tcPr>
            <w:tcW w:w="220" w:type="dxa"/>
            <w:vAlign w:val="bottom"/>
          </w:tcPr>
          <w:p>
            <w:pPr>
              <w:spacing w:after="0"/>
              <w:rPr>
                <w:sz w:val="11"/>
                <w:szCs w:val="11"/>
                <w:color w:val="auto"/>
              </w:rPr>
            </w:pP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78,612</w:t>
            </w:r>
          </w:p>
        </w:tc>
        <w:tc>
          <w:tcPr>
            <w:tcW w:w="240" w:type="dxa"/>
            <w:vAlign w:val="bottom"/>
          </w:tcPr>
          <w:p>
            <w:pPr>
              <w:spacing w:after="0"/>
              <w:rPr>
                <w:sz w:val="11"/>
                <w:szCs w:val="11"/>
                <w:color w:val="auto"/>
              </w:rPr>
            </w:pP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rPr>
              <w:t>82,464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Other</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803</w:t>
            </w:r>
          </w:p>
        </w:tc>
        <w:tc>
          <w:tcPr>
            <w:tcW w:w="22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776</w:t>
            </w:r>
          </w:p>
        </w:tc>
        <w:tc>
          <w:tcPr>
            <w:tcW w:w="220" w:type="dxa"/>
            <w:vAlign w:val="bottom"/>
          </w:tcPr>
          <w:p>
            <w:pPr>
              <w:spacing w:after="0"/>
              <w:rPr>
                <w:sz w:val="11"/>
                <w:szCs w:val="11"/>
                <w:color w:val="auto"/>
              </w:rPr>
            </w:pP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17,844</w:t>
            </w:r>
          </w:p>
        </w:tc>
        <w:tc>
          <w:tcPr>
            <w:tcW w:w="240" w:type="dxa"/>
            <w:vAlign w:val="bottom"/>
          </w:tcPr>
          <w:p>
            <w:pPr>
              <w:spacing w:after="0"/>
              <w:rPr>
                <w:sz w:val="11"/>
                <w:szCs w:val="11"/>
                <w:color w:val="auto"/>
              </w:rPr>
            </w:pP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rPr>
              <w:t>2,338</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w:t>
            </w:r>
          </w:p>
        </w:tc>
        <w:tc>
          <w:tcPr>
            <w:tcW w:w="2360" w:type="dxa"/>
            <w:vAlign w:val="bottom"/>
          </w:tcPr>
          <w:p>
            <w:pPr>
              <w:jc w:val="right"/>
              <w:ind w:right="116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560"/>
              <w:spacing w:after="0"/>
              <w:rPr>
                <w:sz w:val="20"/>
                <w:szCs w:val="20"/>
                <w:color w:val="auto"/>
              </w:rPr>
            </w:pPr>
            <w:r>
              <w:rPr>
                <w:rFonts w:ascii="Courier New" w:cs="Courier New" w:eastAsia="Courier New" w:hAnsi="Courier New"/>
                <w:sz w:val="12"/>
                <w:szCs w:val="12"/>
                <w:color w:val="auto"/>
              </w:rPr>
              <w:t>Total revenue</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$ 264,093</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$ 285,786</w:t>
            </w:r>
          </w:p>
        </w:tc>
        <w:tc>
          <w:tcPr>
            <w:tcW w:w="2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834,100</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w w:val="95"/>
              </w:rPr>
              <w:t>807,171</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00" w:type="dxa"/>
            <w:vAlign w:val="bottom"/>
          </w:tcPr>
          <w:p>
            <w:pPr>
              <w:spacing w:after="0"/>
              <w:rPr>
                <w:sz w:val="20"/>
                <w:szCs w:val="20"/>
                <w:color w:val="auto"/>
              </w:rPr>
            </w:pPr>
            <w:r>
              <w:rPr>
                <w:rFonts w:ascii="Courier New" w:cs="Courier New" w:eastAsia="Courier New" w:hAnsi="Courier New"/>
                <w:sz w:val="12"/>
                <w:szCs w:val="12"/>
                <w:color w:val="auto"/>
              </w:rPr>
              <w:t>Operating Profit, Net Income:</w:t>
            </w: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Ocean Transportation</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  24,245</w:t>
            </w:r>
          </w:p>
        </w:tc>
        <w:tc>
          <w:tcPr>
            <w:tcW w:w="2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26,106</w:t>
            </w:r>
          </w:p>
        </w:tc>
        <w:tc>
          <w:tcPr>
            <w:tcW w:w="2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60,413</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rPr>
              <w:t>73,913</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Property Development and Management:</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560"/>
              <w:spacing w:after="0"/>
              <w:rPr>
                <w:sz w:val="20"/>
                <w:szCs w:val="20"/>
                <w:color w:val="auto"/>
              </w:rPr>
            </w:pPr>
            <w:r>
              <w:rPr>
                <w:rFonts w:ascii="Courier New" w:cs="Courier New" w:eastAsia="Courier New" w:hAnsi="Courier New"/>
                <w:sz w:val="12"/>
                <w:szCs w:val="12"/>
                <w:color w:val="auto"/>
              </w:rPr>
              <w:t>Leasing</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8,704</w:t>
            </w:r>
          </w:p>
        </w:tc>
        <w:tc>
          <w:tcPr>
            <w:tcW w:w="22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7,467</w:t>
            </w:r>
          </w:p>
        </w:tc>
        <w:tc>
          <w:tcPr>
            <w:tcW w:w="220" w:type="dxa"/>
            <w:vAlign w:val="bottom"/>
          </w:tcPr>
          <w:p>
            <w:pPr>
              <w:spacing w:after="0"/>
              <w:rPr>
                <w:sz w:val="11"/>
                <w:szCs w:val="11"/>
                <w:color w:val="auto"/>
              </w:rPr>
            </w:pP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26,123</w:t>
            </w:r>
          </w:p>
        </w:tc>
        <w:tc>
          <w:tcPr>
            <w:tcW w:w="240" w:type="dxa"/>
            <w:vAlign w:val="bottom"/>
          </w:tcPr>
          <w:p>
            <w:pPr>
              <w:spacing w:after="0"/>
              <w:rPr>
                <w:sz w:val="11"/>
                <w:szCs w:val="11"/>
                <w:color w:val="auto"/>
              </w:rPr>
            </w:pP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rPr>
              <w:t>22,257</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560"/>
              <w:spacing w:after="0"/>
              <w:rPr>
                <w:sz w:val="20"/>
                <w:szCs w:val="20"/>
                <w:color w:val="auto"/>
              </w:rPr>
            </w:pPr>
            <w:r>
              <w:rPr>
                <w:rFonts w:ascii="Courier New" w:cs="Courier New" w:eastAsia="Courier New" w:hAnsi="Courier New"/>
                <w:sz w:val="12"/>
                <w:szCs w:val="12"/>
                <w:color w:val="auto"/>
              </w:rPr>
              <w:t>Sales</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(405)</w:t>
            </w:r>
          </w:p>
        </w:tc>
        <w:tc>
          <w:tcPr>
            <w:tcW w:w="22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5,472</w:t>
            </w:r>
          </w:p>
        </w:tc>
        <w:tc>
          <w:tcPr>
            <w:tcW w:w="220" w:type="dxa"/>
            <w:vAlign w:val="bottom"/>
          </w:tcPr>
          <w:p>
            <w:pPr>
              <w:spacing w:after="0"/>
              <w:rPr>
                <w:sz w:val="11"/>
                <w:szCs w:val="11"/>
                <w:color w:val="auto"/>
              </w:rPr>
            </w:pP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15,362</w:t>
            </w:r>
          </w:p>
        </w:tc>
        <w:tc>
          <w:tcPr>
            <w:tcW w:w="240" w:type="dxa"/>
            <w:vAlign w:val="bottom"/>
          </w:tcPr>
          <w:p>
            <w:pPr>
              <w:spacing w:after="0"/>
              <w:rPr>
                <w:sz w:val="11"/>
                <w:szCs w:val="11"/>
                <w:color w:val="auto"/>
              </w:rPr>
            </w:pP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rPr>
              <w:t>25,090</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Food Products</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1,374</w:t>
            </w:r>
          </w:p>
        </w:tc>
        <w:tc>
          <w:tcPr>
            <w:tcW w:w="22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2,901</w:t>
            </w:r>
          </w:p>
        </w:tc>
        <w:tc>
          <w:tcPr>
            <w:tcW w:w="220" w:type="dxa"/>
            <w:vAlign w:val="bottom"/>
          </w:tcPr>
          <w:p>
            <w:pPr>
              <w:spacing w:after="0"/>
              <w:rPr>
                <w:sz w:val="11"/>
                <w:szCs w:val="11"/>
                <w:color w:val="auto"/>
              </w:rPr>
            </w:pP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7,226</w:t>
            </w:r>
          </w:p>
        </w:tc>
        <w:tc>
          <w:tcPr>
            <w:tcW w:w="240" w:type="dxa"/>
            <w:vAlign w:val="bottom"/>
          </w:tcPr>
          <w:p>
            <w:pPr>
              <w:spacing w:after="0"/>
              <w:rPr>
                <w:sz w:val="11"/>
                <w:szCs w:val="11"/>
                <w:color w:val="auto"/>
              </w:rPr>
            </w:pP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rPr>
              <w:t>2,909</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Other</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767</w:t>
            </w:r>
          </w:p>
        </w:tc>
        <w:tc>
          <w:tcPr>
            <w:tcW w:w="22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745</w:t>
            </w:r>
          </w:p>
        </w:tc>
        <w:tc>
          <w:tcPr>
            <w:tcW w:w="220" w:type="dxa"/>
            <w:vAlign w:val="bottom"/>
          </w:tcPr>
          <w:p>
            <w:pPr>
              <w:spacing w:after="0"/>
              <w:rPr>
                <w:sz w:val="11"/>
                <w:szCs w:val="11"/>
                <w:color w:val="auto"/>
              </w:rPr>
            </w:pP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17,714</w:t>
            </w:r>
          </w:p>
        </w:tc>
        <w:tc>
          <w:tcPr>
            <w:tcW w:w="240" w:type="dxa"/>
            <w:vAlign w:val="bottom"/>
          </w:tcPr>
          <w:p>
            <w:pPr>
              <w:spacing w:after="0"/>
              <w:rPr>
                <w:sz w:val="11"/>
                <w:szCs w:val="11"/>
                <w:color w:val="auto"/>
              </w:rPr>
            </w:pP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rPr>
              <w:t>2,218</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00" w:type="dxa"/>
            <w:vAlign w:val="bottom"/>
          </w:tcPr>
          <w:p>
            <w:pPr>
              <w:ind w:left="560"/>
              <w:spacing w:after="0"/>
              <w:rPr>
                <w:sz w:val="20"/>
                <w:szCs w:val="20"/>
                <w:color w:val="auto"/>
              </w:rPr>
            </w:pPr>
            <w:r>
              <w:rPr>
                <w:rFonts w:ascii="Courier New" w:cs="Courier New" w:eastAsia="Courier New" w:hAnsi="Courier New"/>
                <w:sz w:val="12"/>
                <w:szCs w:val="12"/>
                <w:color w:val="auto"/>
              </w:rPr>
              <w:t>Total operating profit</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34,685</w:t>
            </w:r>
          </w:p>
        </w:tc>
        <w:tc>
          <w:tcPr>
            <w:tcW w:w="22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42,691</w:t>
            </w:r>
          </w:p>
        </w:tc>
        <w:tc>
          <w:tcPr>
            <w:tcW w:w="220" w:type="dxa"/>
            <w:vAlign w:val="bottom"/>
          </w:tcPr>
          <w:p>
            <w:pPr>
              <w:spacing w:after="0"/>
              <w:rPr>
                <w:sz w:val="11"/>
                <w:szCs w:val="11"/>
                <w:color w:val="auto"/>
              </w:rPr>
            </w:pP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126,838</w:t>
            </w:r>
          </w:p>
        </w:tc>
        <w:tc>
          <w:tcPr>
            <w:tcW w:w="240" w:type="dxa"/>
            <w:vAlign w:val="bottom"/>
          </w:tcPr>
          <w:p>
            <w:pPr>
              <w:spacing w:after="0"/>
              <w:rPr>
                <w:sz w:val="11"/>
                <w:szCs w:val="11"/>
                <w:color w:val="auto"/>
              </w:rPr>
            </w:pP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w w:val="95"/>
              </w:rPr>
              <w:t>126,387</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Interest Expense</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(4,330)</w:t>
            </w:r>
          </w:p>
        </w:tc>
        <w:tc>
          <w:tcPr>
            <w:tcW w:w="22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(6,661)</w:t>
            </w:r>
          </w:p>
        </w:tc>
        <w:tc>
          <w:tcPr>
            <w:tcW w:w="22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3"/>
              </w:rPr>
              <w:t>(14,979)</w:t>
            </w:r>
          </w:p>
        </w:tc>
        <w:tc>
          <w:tcPr>
            <w:tcW w:w="240" w:type="dxa"/>
            <w:vAlign w:val="bottom"/>
          </w:tcPr>
          <w:p>
            <w:pPr>
              <w:spacing w:after="0"/>
              <w:rPr>
                <w:sz w:val="11"/>
                <w:szCs w:val="11"/>
                <w:color w:val="auto"/>
              </w:rPr>
            </w:pPr>
          </w:p>
        </w:tc>
        <w:tc>
          <w:tcPr>
            <w:tcW w:w="2780" w:type="dxa"/>
            <w:vAlign w:val="bottom"/>
            <w:gridSpan w:val="2"/>
          </w:tcPr>
          <w:p>
            <w:pPr>
              <w:jc w:val="right"/>
              <w:ind w:right="2161"/>
              <w:spacing w:after="0"/>
              <w:rPr>
                <w:sz w:val="20"/>
                <w:szCs w:val="20"/>
                <w:color w:val="auto"/>
              </w:rPr>
            </w:pPr>
            <w:r>
              <w:rPr>
                <w:rFonts w:ascii="Courier New" w:cs="Courier New" w:eastAsia="Courier New" w:hAnsi="Courier New"/>
                <w:sz w:val="12"/>
                <w:szCs w:val="12"/>
                <w:color w:val="auto"/>
                <w:w w:val="93"/>
              </w:rPr>
              <w:t>(17,967)</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Corporate Expenses</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(2,878)</w:t>
            </w:r>
          </w:p>
        </w:tc>
        <w:tc>
          <w:tcPr>
            <w:tcW w:w="22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(2,392)</w:t>
            </w:r>
          </w:p>
        </w:tc>
        <w:tc>
          <w:tcPr>
            <w:tcW w:w="22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(9,860)</w:t>
            </w:r>
          </w:p>
        </w:tc>
        <w:tc>
          <w:tcPr>
            <w:tcW w:w="240" w:type="dxa"/>
            <w:vAlign w:val="bottom"/>
          </w:tcPr>
          <w:p>
            <w:pPr>
              <w:spacing w:after="0"/>
              <w:rPr>
                <w:sz w:val="11"/>
                <w:szCs w:val="11"/>
                <w:color w:val="auto"/>
              </w:rPr>
            </w:pPr>
          </w:p>
        </w:tc>
        <w:tc>
          <w:tcPr>
            <w:tcW w:w="2780" w:type="dxa"/>
            <w:vAlign w:val="bottom"/>
            <w:gridSpan w:val="2"/>
          </w:tcPr>
          <w:p>
            <w:pPr>
              <w:jc w:val="right"/>
              <w:ind w:right="2161"/>
              <w:spacing w:after="0"/>
              <w:rPr>
                <w:sz w:val="20"/>
                <w:szCs w:val="20"/>
                <w:color w:val="auto"/>
              </w:rPr>
            </w:pPr>
            <w:r>
              <w:rPr>
                <w:rFonts w:ascii="Courier New" w:cs="Courier New" w:eastAsia="Courier New" w:hAnsi="Courier New"/>
                <w:sz w:val="12"/>
                <w:szCs w:val="12"/>
                <w:color w:val="auto"/>
              </w:rPr>
              <w:t>(8,600)</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Income Before Taxes and Accounting Change</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27,477</w:t>
            </w:r>
          </w:p>
        </w:tc>
        <w:tc>
          <w:tcPr>
            <w:tcW w:w="22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33,638</w:t>
            </w:r>
          </w:p>
        </w:tc>
        <w:tc>
          <w:tcPr>
            <w:tcW w:w="220" w:type="dxa"/>
            <w:vAlign w:val="bottom"/>
          </w:tcPr>
          <w:p>
            <w:pPr>
              <w:spacing w:after="0"/>
              <w:rPr>
                <w:sz w:val="11"/>
                <w:szCs w:val="11"/>
                <w:color w:val="auto"/>
              </w:rPr>
            </w:pPr>
          </w:p>
        </w:tc>
        <w:tc>
          <w:tcPr>
            <w:tcW w:w="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101,999</w:t>
            </w:r>
          </w:p>
        </w:tc>
        <w:tc>
          <w:tcPr>
            <w:tcW w:w="240" w:type="dxa"/>
            <w:vAlign w:val="bottom"/>
          </w:tcPr>
          <w:p>
            <w:pPr>
              <w:spacing w:after="0"/>
              <w:rPr>
                <w:sz w:val="11"/>
                <w:szCs w:val="11"/>
                <w:color w:val="auto"/>
              </w:rPr>
            </w:pP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rPr>
              <w:t>99,820</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Income Taxes</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(10,165)</w:t>
            </w:r>
          </w:p>
        </w:tc>
        <w:tc>
          <w:tcPr>
            <w:tcW w:w="22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w w:val="93"/>
              </w:rPr>
              <w:t>(12,284)</w:t>
            </w:r>
          </w:p>
        </w:tc>
        <w:tc>
          <w:tcPr>
            <w:tcW w:w="22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3"/>
              </w:rPr>
              <w:t>(37,739)</w:t>
            </w:r>
          </w:p>
        </w:tc>
        <w:tc>
          <w:tcPr>
            <w:tcW w:w="240" w:type="dxa"/>
            <w:vAlign w:val="bottom"/>
          </w:tcPr>
          <w:p>
            <w:pPr>
              <w:spacing w:after="0"/>
              <w:rPr>
                <w:sz w:val="11"/>
                <w:szCs w:val="11"/>
                <w:color w:val="auto"/>
              </w:rPr>
            </w:pPr>
          </w:p>
        </w:tc>
        <w:tc>
          <w:tcPr>
            <w:tcW w:w="2780" w:type="dxa"/>
            <w:vAlign w:val="bottom"/>
            <w:gridSpan w:val="2"/>
          </w:tcPr>
          <w:p>
            <w:pPr>
              <w:jc w:val="right"/>
              <w:ind w:right="2161"/>
              <w:spacing w:after="0"/>
              <w:rPr>
                <w:sz w:val="20"/>
                <w:szCs w:val="20"/>
                <w:color w:val="auto"/>
              </w:rPr>
            </w:pPr>
            <w:r>
              <w:rPr>
                <w:rFonts w:ascii="Courier New" w:cs="Courier New" w:eastAsia="Courier New" w:hAnsi="Courier New"/>
                <w:sz w:val="12"/>
                <w:szCs w:val="12"/>
                <w:color w:val="auto"/>
                <w:w w:val="93"/>
              </w:rPr>
              <w:t>(36,042)</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r>
      <w:tr>
        <w:trPr>
          <w:trHeight w:val="135"/>
        </w:trPr>
        <w:tc>
          <w:tcPr>
            <w:tcW w:w="3300" w:type="dxa"/>
            <w:vAlign w:val="bottom"/>
          </w:tcPr>
          <w:p>
            <w:pPr>
              <w:ind w:left="620"/>
              <w:spacing w:after="0"/>
              <w:rPr>
                <w:sz w:val="20"/>
                <w:szCs w:val="20"/>
                <w:color w:val="auto"/>
              </w:rPr>
            </w:pPr>
            <w:r>
              <w:rPr>
                <w:rFonts w:ascii="Courier New" w:cs="Courier New" w:eastAsia="Courier New" w:hAnsi="Courier New"/>
                <w:sz w:val="12"/>
                <w:szCs w:val="12"/>
                <w:color w:val="auto"/>
              </w:rPr>
              <w:t>Income Before Accounting Change</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17,312</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21,354</w:t>
            </w:r>
          </w:p>
        </w:tc>
        <w:tc>
          <w:tcPr>
            <w:tcW w:w="36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64,260</w:t>
            </w:r>
          </w:p>
        </w:tc>
        <w:tc>
          <w:tcPr>
            <w:tcW w:w="420" w:type="dxa"/>
            <w:vAlign w:val="bottom"/>
          </w:tcPr>
          <w:p>
            <w:pPr>
              <w:spacing w:after="0"/>
              <w:rPr>
                <w:sz w:val="11"/>
                <w:szCs w:val="11"/>
                <w:color w:val="auto"/>
              </w:rPr>
            </w:pPr>
          </w:p>
        </w:tc>
        <w:tc>
          <w:tcPr>
            <w:tcW w:w="2360" w:type="dxa"/>
            <w:vAlign w:val="bottom"/>
          </w:tcPr>
          <w:p>
            <w:pPr>
              <w:jc w:val="right"/>
              <w:ind w:right="1881"/>
              <w:spacing w:after="0"/>
              <w:rPr>
                <w:sz w:val="20"/>
                <w:szCs w:val="20"/>
                <w:color w:val="auto"/>
              </w:rPr>
            </w:pPr>
            <w:r>
              <w:rPr>
                <w:rFonts w:ascii="Courier New" w:cs="Courier New" w:eastAsia="Courier New" w:hAnsi="Courier New"/>
                <w:sz w:val="12"/>
                <w:szCs w:val="12"/>
                <w:color w:val="auto"/>
                <w:w w:val="92"/>
              </w:rPr>
              <w:t>63,778</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ind w:left="280"/>
              <w:spacing w:after="0"/>
              <w:rPr>
                <w:sz w:val="20"/>
                <w:szCs w:val="20"/>
                <w:color w:val="auto"/>
              </w:rPr>
            </w:pPr>
            <w:r>
              <w:rPr>
                <w:rFonts w:ascii="Courier New" w:cs="Courier New" w:eastAsia="Courier New" w:hAnsi="Courier New"/>
                <w:sz w:val="12"/>
                <w:szCs w:val="12"/>
                <w:color w:val="auto"/>
              </w:rPr>
              <w:t>Cumulative Effect of Accounting Change</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82"/>
              </w:rPr>
              <w:t>--</w:t>
            </w:r>
          </w:p>
        </w:tc>
        <w:tc>
          <w:tcPr>
            <w:tcW w:w="240" w:type="dxa"/>
            <w:vAlign w:val="bottom"/>
          </w:tcPr>
          <w:p>
            <w:pPr>
              <w:spacing w:after="0"/>
              <w:rPr>
                <w:sz w:val="11"/>
                <w:szCs w:val="11"/>
                <w:color w:val="auto"/>
              </w:rPr>
            </w:pPr>
          </w:p>
        </w:tc>
        <w:tc>
          <w:tcPr>
            <w:tcW w:w="2780" w:type="dxa"/>
            <w:vAlign w:val="bottom"/>
            <w:gridSpan w:val="2"/>
          </w:tcPr>
          <w:p>
            <w:pPr>
              <w:jc w:val="right"/>
              <w:ind w:right="2221"/>
              <w:spacing w:after="0"/>
              <w:rPr>
                <w:sz w:val="20"/>
                <w:szCs w:val="20"/>
                <w:color w:val="auto"/>
              </w:rPr>
            </w:pPr>
            <w:r>
              <w:rPr>
                <w:rFonts w:ascii="Courier New" w:cs="Courier New" w:eastAsia="Courier New" w:hAnsi="Courier New"/>
                <w:sz w:val="12"/>
                <w:szCs w:val="12"/>
                <w:color w:val="auto"/>
              </w:rPr>
              <w:t>12,250</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r>
      <w:tr>
        <w:trPr>
          <w:trHeight w:val="135"/>
        </w:trPr>
        <w:tc>
          <w:tcPr>
            <w:tcW w:w="3300" w:type="dxa"/>
            <w:vAlign w:val="bottom"/>
          </w:tcPr>
          <w:p>
            <w:pPr>
              <w:ind w:left="620"/>
              <w:spacing w:after="0"/>
              <w:rPr>
                <w:sz w:val="20"/>
                <w:szCs w:val="20"/>
                <w:color w:val="auto"/>
              </w:rPr>
            </w:pPr>
            <w:r>
              <w:rPr>
                <w:rFonts w:ascii="Courier New" w:cs="Courier New" w:eastAsia="Courier New" w:hAnsi="Courier New"/>
                <w:sz w:val="12"/>
                <w:szCs w:val="12"/>
                <w:color w:val="auto"/>
              </w:rPr>
              <w:t>Net Income</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17,312</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21,354</w:t>
            </w: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64,260</w:t>
            </w:r>
          </w:p>
        </w:tc>
        <w:tc>
          <w:tcPr>
            <w:tcW w:w="4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360" w:type="dxa"/>
            <w:vAlign w:val="bottom"/>
          </w:tcPr>
          <w:p>
            <w:pPr>
              <w:jc w:val="right"/>
              <w:ind w:right="1881"/>
              <w:spacing w:after="0"/>
              <w:rPr>
                <w:sz w:val="20"/>
                <w:szCs w:val="20"/>
                <w:color w:val="auto"/>
              </w:rPr>
            </w:pPr>
            <w:r>
              <w:rPr>
                <w:rFonts w:ascii="Courier New" w:cs="Courier New" w:eastAsia="Courier New" w:hAnsi="Courier New"/>
                <w:sz w:val="12"/>
                <w:szCs w:val="12"/>
                <w:color w:val="auto"/>
                <w:w w:val="92"/>
              </w:rPr>
              <w:t>76,028</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1520"/>
          </w:cols>
          <w:pgMar w:left="220" w:top="659" w:right="159" w:bottom="1440" w:gutter="0" w:footer="0" w:header="0"/>
        </w:sectPr>
      </w:pPr>
    </w:p>
    <w:bookmarkStart w:id="3" w:name="page4"/>
    <w:bookmarkEnd w:id="3"/>
    <w:p>
      <w:pPr>
        <w:jc w:val="center"/>
        <w:ind w:right="5920"/>
        <w:spacing w:after="0"/>
        <w:rPr>
          <w:sz w:val="20"/>
          <w:szCs w:val="20"/>
          <w:color w:val="auto"/>
        </w:rPr>
      </w:pPr>
      <w:r>
        <w:rPr>
          <w:rFonts w:ascii="Courier New" w:cs="Courier New" w:eastAsia="Courier New" w:hAnsi="Courier New"/>
          <w:sz w:val="12"/>
          <w:szCs w:val="12"/>
          <w:color w:val="auto"/>
        </w:rPr>
        <w:t>ALEXANDER &amp; BALDWIN, INC. AND SUBSIDIARIES</w:t>
      </w:r>
    </w:p>
    <w:p>
      <w:pPr>
        <w:jc w:val="center"/>
        <w:ind w:right="5920"/>
        <w:spacing w:after="0"/>
        <w:rPr>
          <w:sz w:val="20"/>
          <w:szCs w:val="20"/>
          <w:color w:val="auto"/>
        </w:rPr>
      </w:pPr>
      <w:r>
        <w:rPr>
          <w:rFonts w:ascii="Courier New" w:cs="Courier New" w:eastAsia="Courier New" w:hAnsi="Courier New"/>
          <w:sz w:val="12"/>
          <w:szCs w:val="12"/>
          <w:color w:val="auto"/>
        </w:rPr>
        <w:t>Condensed Balance Sheets</w:t>
      </w:r>
    </w:p>
    <w:p>
      <w:pPr>
        <w:jc w:val="center"/>
        <w:ind w:right="5920"/>
        <w:spacing w:after="0" w:line="237" w:lineRule="auto"/>
        <w:rPr>
          <w:sz w:val="20"/>
          <w:szCs w:val="20"/>
          <w:color w:val="auto"/>
        </w:rPr>
      </w:pPr>
      <w:r>
        <w:rPr>
          <w:rFonts w:ascii="Courier New" w:cs="Courier New" w:eastAsia="Courier New" w:hAnsi="Courier New"/>
          <w:sz w:val="12"/>
          <w:szCs w:val="12"/>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80" w:type="dxa"/>
            <w:vAlign w:val="bottom"/>
          </w:tcPr>
          <w:p>
            <w:pPr>
              <w:spacing w:after="0"/>
              <w:rPr>
                <w:sz w:val="11"/>
                <w:szCs w:val="11"/>
                <w:color w:val="auto"/>
              </w:rPr>
            </w:pP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September 30,</w:t>
            </w:r>
          </w:p>
        </w:tc>
        <w:tc>
          <w:tcPr>
            <w:tcW w:w="11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December 31,</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2001</w:t>
            </w:r>
          </w:p>
        </w:tc>
        <w:tc>
          <w:tcPr>
            <w:tcW w:w="280" w:type="dxa"/>
            <w:vAlign w:val="bottom"/>
          </w:tcPr>
          <w:p>
            <w:pPr>
              <w:spacing w:after="0"/>
              <w:rPr>
                <w:sz w:val="11"/>
                <w:szCs w:val="11"/>
                <w:color w:val="auto"/>
              </w:rPr>
            </w:pPr>
          </w:p>
        </w:tc>
        <w:tc>
          <w:tcPr>
            <w:tcW w:w="82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2000</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(unaudited)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100"/>
              <w:spacing w:after="0"/>
              <w:rPr>
                <w:sz w:val="20"/>
                <w:szCs w:val="20"/>
                <w:color w:val="auto"/>
              </w:rPr>
            </w:pPr>
            <w:r>
              <w:rPr>
                <w:rFonts w:ascii="Courier New" w:cs="Courier New" w:eastAsia="Courier New" w:hAnsi="Courier New"/>
                <w:sz w:val="12"/>
                <w:szCs w:val="12"/>
                <w:color w:val="auto"/>
              </w:rPr>
              <w:t>ASSETS</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70"/>
        </w:trPr>
        <w:tc>
          <w:tcPr>
            <w:tcW w:w="3580" w:type="dxa"/>
            <w:vAlign w:val="bottom"/>
          </w:tcPr>
          <w:p>
            <w:pPr>
              <w:spacing w:after="0"/>
              <w:rPr>
                <w:sz w:val="20"/>
                <w:szCs w:val="20"/>
                <w:color w:val="auto"/>
              </w:rPr>
            </w:pPr>
            <w:r>
              <w:rPr>
                <w:rFonts w:ascii="Courier New" w:cs="Courier New" w:eastAsia="Courier New" w:hAnsi="Courier New"/>
                <w:sz w:val="12"/>
                <w:szCs w:val="12"/>
                <w:color w:val="auto"/>
              </w:rPr>
              <w:t>Current Assets:</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Cash and cash equivalents</w:t>
            </w:r>
          </w:p>
        </w:tc>
        <w:tc>
          <w:tcPr>
            <w:tcW w:w="200" w:type="dxa"/>
            <w:vAlign w:val="bottom"/>
          </w:tcPr>
          <w:p>
            <w:pPr>
              <w:ind w:left="140"/>
              <w:spacing w:after="0"/>
              <w:rPr>
                <w:sz w:val="20"/>
                <w:szCs w:val="20"/>
                <w:color w:val="auto"/>
              </w:rPr>
            </w:pPr>
            <w:r>
              <w:rPr>
                <w:rFonts w:ascii="Courier New" w:cs="Courier New" w:eastAsia="Courier New" w:hAnsi="Courier New"/>
                <w:sz w:val="9"/>
                <w:szCs w:val="9"/>
                <w:color w:val="auto"/>
                <w:w w:val="73"/>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340</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3,451</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Accounts and notes receivable, net</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131,595</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141,553</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Inventories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19,023</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17,137</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Real estate held for sale</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8,665</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19,324</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Deferred income taxes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12,865</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13,186</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Prepaid expenses and other assets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12,602</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18,736</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Accrued deposits to Capital Construction Fund</w:t>
            </w:r>
          </w:p>
        </w:tc>
        <w:tc>
          <w:tcPr>
            <w:tcW w:w="20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(900)</w:t>
            </w:r>
          </w:p>
        </w:tc>
        <w:tc>
          <w:tcPr>
            <w:tcW w:w="28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(4,520)</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ind w:left="560"/>
              <w:spacing w:after="0"/>
              <w:rPr>
                <w:sz w:val="20"/>
                <w:szCs w:val="20"/>
                <w:color w:val="auto"/>
              </w:rPr>
            </w:pPr>
            <w:r>
              <w:rPr>
                <w:rFonts w:ascii="Courier New" w:cs="Courier New" w:eastAsia="Courier New" w:hAnsi="Courier New"/>
                <w:sz w:val="12"/>
                <w:szCs w:val="12"/>
                <w:color w:val="auto"/>
              </w:rPr>
              <w:t>Total current assets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184,190</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208,867</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Investments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181,770</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183,141</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Real Estate Developments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67,348</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62,628</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Property, at cost</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1,896,070</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1,808,194</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w w:val="99"/>
              </w:rPr>
              <w:t>Less accumulated depreciation and amortization</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897,944</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853,502</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ind w:left="560"/>
              <w:spacing w:after="0"/>
              <w:rPr>
                <w:sz w:val="20"/>
                <w:szCs w:val="20"/>
                <w:color w:val="auto"/>
              </w:rPr>
            </w:pPr>
            <w:r>
              <w:rPr>
                <w:rFonts w:ascii="Courier New" w:cs="Courier New" w:eastAsia="Courier New" w:hAnsi="Courier New"/>
                <w:sz w:val="12"/>
                <w:szCs w:val="12"/>
                <w:color w:val="auto"/>
              </w:rPr>
              <w:t>Property - net</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998,126</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954,692</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Capital Construction Fund</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152,985</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150,405</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Other Assets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110,464</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106,279</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580" w:type="dxa"/>
            <w:vAlign w:val="bottom"/>
          </w:tcPr>
          <w:p>
            <w:pPr>
              <w:ind w:left="560"/>
              <w:spacing w:after="0"/>
              <w:rPr>
                <w:sz w:val="20"/>
                <w:szCs w:val="20"/>
                <w:color w:val="auto"/>
              </w:rPr>
            </w:pPr>
            <w:r>
              <w:rPr>
                <w:rFonts w:ascii="Courier New" w:cs="Courier New" w:eastAsia="Courier New" w:hAnsi="Courier New"/>
                <w:sz w:val="12"/>
                <w:szCs w:val="12"/>
                <w:color w:val="auto"/>
              </w:rPr>
              <w:t>Total</w:t>
            </w:r>
          </w:p>
        </w:tc>
        <w:tc>
          <w:tcPr>
            <w:tcW w:w="200" w:type="dxa"/>
            <w:vAlign w:val="bottom"/>
          </w:tcPr>
          <w:p>
            <w:pPr>
              <w:ind w:left="140"/>
              <w:spacing w:after="0"/>
              <w:rPr>
                <w:sz w:val="20"/>
                <w:szCs w:val="20"/>
                <w:color w:val="auto"/>
              </w:rPr>
            </w:pPr>
            <w:r>
              <w:rPr>
                <w:rFonts w:ascii="Courier New" w:cs="Courier New" w:eastAsia="Courier New" w:hAnsi="Courier New"/>
                <w:sz w:val="9"/>
                <w:szCs w:val="9"/>
                <w:color w:val="auto"/>
                <w:w w:val="73"/>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1,694,883</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1,666,012</w:t>
            </w: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3580" w:type="dxa"/>
            <w:vAlign w:val="bottom"/>
          </w:tcPr>
          <w:p>
            <w:pPr>
              <w:ind w:left="1740"/>
              <w:spacing w:after="0"/>
              <w:rPr>
                <w:sz w:val="20"/>
                <w:szCs w:val="20"/>
                <w:color w:val="auto"/>
              </w:rPr>
            </w:pPr>
            <w:r>
              <w:rPr>
                <w:rFonts w:ascii="Courier New" w:cs="Courier New" w:eastAsia="Courier New" w:hAnsi="Courier New"/>
                <w:sz w:val="12"/>
                <w:szCs w:val="12"/>
                <w:color w:val="auto"/>
              </w:rPr>
              <w:t>LIABILITIES AND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5"/>
        </w:trPr>
        <w:tc>
          <w:tcPr>
            <w:tcW w:w="3580" w:type="dxa"/>
            <w:vAlign w:val="bottom"/>
          </w:tcPr>
          <w:p>
            <w:pPr>
              <w:ind w:left="1600"/>
              <w:spacing w:after="0"/>
              <w:rPr>
                <w:sz w:val="20"/>
                <w:szCs w:val="20"/>
                <w:color w:val="auto"/>
              </w:rPr>
            </w:pPr>
            <w:r>
              <w:rPr>
                <w:rFonts w:ascii="Courier New" w:cs="Courier New" w:eastAsia="Courier New" w:hAnsi="Courier New"/>
                <w:sz w:val="12"/>
                <w:szCs w:val="12"/>
                <w:color w:val="auto"/>
              </w:rPr>
              <w:t>SHAREHOLDERS' EQUITY</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Current Liabilities:</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w w:val="99"/>
              </w:rPr>
              <w:t>Notes payable and current portion of long-term</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420"/>
              <w:spacing w:after="0"/>
              <w:rPr>
                <w:sz w:val="20"/>
                <w:szCs w:val="20"/>
                <w:color w:val="auto"/>
              </w:rPr>
            </w:pPr>
            <w:r>
              <w:rPr>
                <w:rFonts w:ascii="Courier New" w:cs="Courier New" w:eastAsia="Courier New" w:hAnsi="Courier New"/>
                <w:sz w:val="12"/>
                <w:szCs w:val="12"/>
                <w:color w:val="auto"/>
              </w:rPr>
              <w:t>debt</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23,000</w:t>
            </w:r>
          </w:p>
        </w:tc>
        <w:tc>
          <w:tcPr>
            <w:tcW w:w="2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0" w:type="dxa"/>
            <w:vAlign w:val="bottom"/>
          </w:tcPr>
          <w:p>
            <w:pPr>
              <w:jc w:val="right"/>
              <w:ind w:right="1221"/>
              <w:spacing w:after="0"/>
              <w:rPr>
                <w:sz w:val="20"/>
                <w:szCs w:val="20"/>
                <w:color w:val="auto"/>
              </w:rPr>
            </w:pPr>
            <w:r>
              <w:rPr>
                <w:rFonts w:ascii="Courier New" w:cs="Courier New" w:eastAsia="Courier New" w:hAnsi="Courier New"/>
                <w:sz w:val="12"/>
                <w:szCs w:val="12"/>
                <w:color w:val="auto"/>
              </w:rPr>
              <w:t>30,500</w:t>
            </w: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Accounts payable</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59,200</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63,075</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Other</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66,465</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59,431</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ind w:left="560"/>
              <w:spacing w:after="0"/>
              <w:rPr>
                <w:sz w:val="20"/>
                <w:szCs w:val="20"/>
                <w:color w:val="auto"/>
              </w:rPr>
            </w:pPr>
            <w:r>
              <w:rPr>
                <w:rFonts w:ascii="Courier New" w:cs="Courier New" w:eastAsia="Courier New" w:hAnsi="Courier New"/>
                <w:sz w:val="12"/>
                <w:szCs w:val="12"/>
                <w:color w:val="auto"/>
              </w:rPr>
              <w:t>Total current liabilities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148,665</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153,006</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Long-term Liabilities:</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740" w:type="dxa"/>
            <w:vAlign w:val="bottom"/>
          </w:tcPr>
          <w:p>
            <w:pPr>
              <w:jc w:val="right"/>
              <w:ind w:right="17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Long-term debt</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313,830</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330,766</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Post-retirement benefit obligations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43,958</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44,752</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Other</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55,248</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56,698</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ind w:left="560"/>
              <w:spacing w:after="0"/>
              <w:rPr>
                <w:sz w:val="20"/>
                <w:szCs w:val="20"/>
                <w:color w:val="auto"/>
              </w:rPr>
            </w:pPr>
            <w:r>
              <w:rPr>
                <w:rFonts w:ascii="Courier New" w:cs="Courier New" w:eastAsia="Courier New" w:hAnsi="Courier New"/>
                <w:sz w:val="12"/>
                <w:szCs w:val="12"/>
                <w:color w:val="auto"/>
              </w:rPr>
              <w:t>Total long-term liabilities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413,036</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432,216</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Deferred Income Taxes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391,937</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387,139</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Shareholders' Equity:</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Capital stock</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33,304</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33,248</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Additional capital</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65,154</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58,007</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Unrealized holding gains on securities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69,369</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61,937</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Retained earnings</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585,353</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552,637</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ind w:left="280"/>
              <w:spacing w:after="0"/>
              <w:rPr>
                <w:sz w:val="20"/>
                <w:szCs w:val="20"/>
                <w:color w:val="auto"/>
              </w:rPr>
            </w:pPr>
            <w:r>
              <w:rPr>
                <w:rFonts w:ascii="Courier New" w:cs="Courier New" w:eastAsia="Courier New" w:hAnsi="Courier New"/>
                <w:sz w:val="12"/>
                <w:szCs w:val="12"/>
                <w:color w:val="auto"/>
              </w:rPr>
              <w:t>Cost of treasury stock</w:t>
            </w:r>
          </w:p>
        </w:tc>
        <w:tc>
          <w:tcPr>
            <w:tcW w:w="20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(11,935)</w:t>
            </w:r>
          </w:p>
        </w:tc>
        <w:tc>
          <w:tcPr>
            <w:tcW w:w="28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(12,178)</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ind w:left="560"/>
              <w:spacing w:after="0"/>
              <w:rPr>
                <w:sz w:val="20"/>
                <w:szCs w:val="20"/>
                <w:color w:val="auto"/>
              </w:rPr>
            </w:pPr>
            <w:r>
              <w:rPr>
                <w:rFonts w:ascii="Courier New" w:cs="Courier New" w:eastAsia="Courier New" w:hAnsi="Courier New"/>
                <w:sz w:val="12"/>
                <w:szCs w:val="12"/>
                <w:color w:val="auto"/>
              </w:rPr>
              <w:t>Total shareholders' equity</w:t>
            </w:r>
          </w:p>
        </w:tc>
        <w:tc>
          <w:tcPr>
            <w:tcW w:w="20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741,245</w:t>
            </w:r>
          </w:p>
        </w:tc>
        <w:tc>
          <w:tcPr>
            <w:tcW w:w="28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693,651</w:t>
            </w: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580" w:type="dxa"/>
            <w:vAlign w:val="bottom"/>
          </w:tcPr>
          <w:p>
            <w:pPr>
              <w:ind w:left="560"/>
              <w:spacing w:after="0"/>
              <w:rPr>
                <w:sz w:val="20"/>
                <w:szCs w:val="20"/>
                <w:color w:val="auto"/>
              </w:rPr>
            </w:pPr>
            <w:r>
              <w:rPr>
                <w:rFonts w:ascii="Courier New" w:cs="Courier New" w:eastAsia="Courier New" w:hAnsi="Courier New"/>
                <w:sz w:val="12"/>
                <w:szCs w:val="12"/>
                <w:color w:val="auto"/>
              </w:rPr>
              <w:t>Total</w:t>
            </w:r>
          </w:p>
        </w:tc>
        <w:tc>
          <w:tcPr>
            <w:tcW w:w="200" w:type="dxa"/>
            <w:vAlign w:val="bottom"/>
          </w:tcPr>
          <w:p>
            <w:pPr>
              <w:ind w:left="140"/>
              <w:spacing w:after="0"/>
              <w:rPr>
                <w:sz w:val="20"/>
                <w:szCs w:val="20"/>
                <w:color w:val="auto"/>
              </w:rPr>
            </w:pPr>
            <w:r>
              <w:rPr>
                <w:rFonts w:ascii="Courier New" w:cs="Courier New" w:eastAsia="Courier New" w:hAnsi="Courier New"/>
                <w:sz w:val="9"/>
                <w:szCs w:val="9"/>
                <w:color w:val="auto"/>
                <w:w w:val="73"/>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1,694,883</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1,666,012</w:t>
            </w: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1520"/>
          </w:cols>
          <w:pgMar w:left="220" w:top="659" w:right="159" w:bottom="1440" w:gutter="0" w:footer="0" w:header="0"/>
        </w:sectPr>
      </w:pPr>
    </w:p>
    <w:bookmarkStart w:id="4" w:name="page5"/>
    <w:bookmarkEnd w:id="4"/>
    <w:p>
      <w:pPr>
        <w:jc w:val="center"/>
        <w:ind w:right="4619"/>
        <w:spacing w:after="0"/>
        <w:rPr>
          <w:sz w:val="20"/>
          <w:szCs w:val="20"/>
          <w:color w:val="auto"/>
        </w:rPr>
      </w:pPr>
      <w:r>
        <w:rPr>
          <w:rFonts w:ascii="Courier New" w:cs="Courier New" w:eastAsia="Courier New" w:hAnsi="Courier New"/>
          <w:sz w:val="12"/>
          <w:szCs w:val="12"/>
          <w:color w:val="auto"/>
        </w:rPr>
        <w:t>ALEXANDER &amp; BALDWIN, INC. AND SUBSIDIARIES</w:t>
      </w:r>
    </w:p>
    <w:p>
      <w:pPr>
        <w:jc w:val="center"/>
        <w:ind w:right="4619"/>
        <w:spacing w:after="0"/>
        <w:rPr>
          <w:sz w:val="20"/>
          <w:szCs w:val="20"/>
          <w:color w:val="auto"/>
        </w:rPr>
      </w:pPr>
      <w:r>
        <w:rPr>
          <w:rFonts w:ascii="Courier New" w:cs="Courier New" w:eastAsia="Courier New" w:hAnsi="Courier New"/>
          <w:sz w:val="12"/>
          <w:szCs w:val="12"/>
          <w:color w:val="auto"/>
        </w:rPr>
        <w:t>Condensed Statements of Cash Flows</w:t>
      </w:r>
    </w:p>
    <w:p>
      <w:pPr>
        <w:jc w:val="center"/>
        <w:ind w:right="4619"/>
        <w:spacing w:after="0" w:line="237" w:lineRule="auto"/>
        <w:rPr>
          <w:sz w:val="20"/>
          <w:szCs w:val="20"/>
          <w:color w:val="auto"/>
        </w:rPr>
      </w:pPr>
      <w:r>
        <w:rPr>
          <w:rFonts w:ascii="Courier New" w:cs="Courier New" w:eastAsia="Courier New" w:hAnsi="Courier New"/>
          <w:sz w:val="12"/>
          <w:szCs w:val="12"/>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3"/>
          </w:tcPr>
          <w:p>
            <w:pPr>
              <w:jc w:val="center"/>
              <w:ind w:right="441"/>
              <w:spacing w:after="0"/>
              <w:rPr>
                <w:sz w:val="20"/>
                <w:szCs w:val="20"/>
                <w:color w:val="auto"/>
              </w:rPr>
            </w:pPr>
            <w:r>
              <w:rPr>
                <w:rFonts w:ascii="Courier New" w:cs="Courier New" w:eastAsia="Courier New" w:hAnsi="Courier New"/>
                <w:sz w:val="12"/>
                <w:szCs w:val="12"/>
                <w:color w:val="auto"/>
                <w:w w:val="97"/>
              </w:rPr>
              <w:t>Nine Months Ended</w:t>
            </w:r>
          </w:p>
        </w:tc>
      </w:tr>
      <w:tr>
        <w:trPr>
          <w:trHeight w:val="135"/>
        </w:trPr>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3"/>
          </w:tcPr>
          <w:p>
            <w:pPr>
              <w:jc w:val="center"/>
              <w:ind w:right="441"/>
              <w:spacing w:after="0"/>
              <w:rPr>
                <w:sz w:val="20"/>
                <w:szCs w:val="20"/>
                <w:color w:val="auto"/>
              </w:rPr>
            </w:pPr>
            <w:r>
              <w:rPr>
                <w:rFonts w:ascii="Courier New" w:cs="Courier New" w:eastAsia="Courier New" w:hAnsi="Courier New"/>
                <w:sz w:val="12"/>
                <w:szCs w:val="12"/>
                <w:color w:val="auto"/>
                <w:w w:val="98"/>
              </w:rPr>
              <w:t>September 30,</w:t>
            </w:r>
          </w:p>
        </w:tc>
      </w:tr>
      <w:tr>
        <w:trPr>
          <w:trHeight w:val="135"/>
        </w:trPr>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2001</w:t>
            </w:r>
          </w:p>
        </w:tc>
        <w:tc>
          <w:tcPr>
            <w:tcW w:w="220" w:type="dxa"/>
            <w:vAlign w:val="bottom"/>
          </w:tcPr>
          <w:p>
            <w:pPr>
              <w:spacing w:after="0"/>
              <w:rPr>
                <w:sz w:val="11"/>
                <w:szCs w:val="11"/>
                <w:color w:val="auto"/>
              </w:rPr>
            </w:pPr>
          </w:p>
        </w:tc>
        <w:tc>
          <w:tcPr>
            <w:tcW w:w="840" w:type="dxa"/>
            <w:vAlign w:val="bottom"/>
          </w:tcPr>
          <w:p>
            <w:pPr>
              <w:jc w:val="right"/>
              <w:ind w:right="501"/>
              <w:spacing w:after="0"/>
              <w:rPr>
                <w:sz w:val="20"/>
                <w:szCs w:val="20"/>
                <w:color w:val="auto"/>
              </w:rPr>
            </w:pPr>
            <w:r>
              <w:rPr>
                <w:rFonts w:ascii="Courier New" w:cs="Courier New" w:eastAsia="Courier New" w:hAnsi="Courier New"/>
                <w:sz w:val="12"/>
                <w:szCs w:val="12"/>
                <w:color w:val="auto"/>
                <w:w w:val="90"/>
              </w:rPr>
              <w:t>2000</w:t>
            </w:r>
          </w:p>
        </w:tc>
      </w:tr>
      <w:tr>
        <w:trPr>
          <w:trHeight w:val="270"/>
        </w:trPr>
        <w:tc>
          <w:tcPr>
            <w:tcW w:w="4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center"/>
              <w:ind w:left="301"/>
              <w:spacing w:after="0"/>
              <w:rPr>
                <w:sz w:val="20"/>
                <w:szCs w:val="20"/>
                <w:color w:val="auto"/>
              </w:rPr>
            </w:pPr>
            <w:r>
              <w:rPr>
                <w:rFonts w:ascii="Courier New" w:cs="Courier New" w:eastAsia="Courier New" w:hAnsi="Courier New"/>
                <w:sz w:val="12"/>
                <w:szCs w:val="12"/>
                <w:color w:val="auto"/>
                <w:w w:val="98"/>
              </w:rPr>
              <w:t>(unaudited)</w:t>
            </w:r>
          </w:p>
        </w:tc>
        <w:tc>
          <w:tcPr>
            <w:tcW w:w="840" w:type="dxa"/>
            <w:vAlign w:val="bottom"/>
          </w:tcPr>
          <w:p>
            <w:pPr>
              <w:spacing w:after="0"/>
              <w:rPr>
                <w:sz w:val="23"/>
                <w:szCs w:val="23"/>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3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107,431</w:t>
            </w:r>
          </w:p>
        </w:tc>
        <w:tc>
          <w:tcPr>
            <w:tcW w:w="2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75,431</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Capital expenditures</w:t>
            </w:r>
          </w:p>
        </w:tc>
        <w:tc>
          <w:tcPr>
            <w:tcW w:w="30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(81,430)</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(68,607)</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Proceeds from sale of investments</w:t>
            </w:r>
          </w:p>
        </w:tc>
        <w:tc>
          <w:tcPr>
            <w:tcW w:w="300" w:type="dxa"/>
            <w:vAlign w:val="bottom"/>
          </w:tcPr>
          <w:p>
            <w:pPr>
              <w:spacing w:after="0"/>
              <w:rPr>
                <w:sz w:val="11"/>
                <w:szCs w:val="11"/>
                <w:color w:val="auto"/>
              </w:rPr>
            </w:pPr>
          </w:p>
        </w:tc>
        <w:tc>
          <w:tcPr>
            <w:tcW w:w="9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16,217</w:t>
            </w:r>
          </w:p>
        </w:tc>
        <w:tc>
          <w:tcPr>
            <w:tcW w:w="220" w:type="dxa"/>
            <w:vAlign w:val="bottom"/>
          </w:tcPr>
          <w:p>
            <w:pPr>
              <w:spacing w:after="0"/>
              <w:rPr>
                <w:sz w:val="11"/>
                <w:szCs w:val="11"/>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Capital Construction Fund, net</w:t>
            </w:r>
          </w:p>
        </w:tc>
        <w:tc>
          <w:tcPr>
            <w:tcW w:w="30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(1,983)</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(797)</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Other</w:t>
            </w:r>
          </w:p>
        </w:tc>
        <w:tc>
          <w:tcPr>
            <w:tcW w:w="300" w:type="dxa"/>
            <w:vAlign w:val="bottom"/>
          </w:tcPr>
          <w:p>
            <w:pPr>
              <w:spacing w:after="0"/>
              <w:rPr>
                <w:sz w:val="11"/>
                <w:szCs w:val="11"/>
                <w:color w:val="auto"/>
              </w:rPr>
            </w:pPr>
          </w:p>
        </w:tc>
        <w:tc>
          <w:tcPr>
            <w:tcW w:w="9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2,770</w:t>
            </w:r>
          </w:p>
        </w:tc>
        <w:tc>
          <w:tcPr>
            <w:tcW w:w="220" w:type="dxa"/>
            <w:vAlign w:val="bottom"/>
          </w:tcPr>
          <w:p>
            <w:pPr>
              <w:spacing w:after="0"/>
              <w:rPr>
                <w:sz w:val="11"/>
                <w:szCs w:val="11"/>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3,118</w:t>
            </w:r>
          </w:p>
        </w:tc>
      </w:tr>
      <w:tr>
        <w:trPr>
          <w:trHeight w:val="135"/>
        </w:trPr>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20" w:type="dxa"/>
            <w:vAlign w:val="bottom"/>
          </w:tcPr>
          <w:p>
            <w:pPr>
              <w:ind w:left="560"/>
              <w:spacing w:after="0"/>
              <w:rPr>
                <w:sz w:val="20"/>
                <w:szCs w:val="20"/>
                <w:color w:val="auto"/>
              </w:rPr>
            </w:pPr>
            <w:r>
              <w:rPr>
                <w:rFonts w:ascii="Courier New" w:cs="Courier New" w:eastAsia="Courier New" w:hAnsi="Courier New"/>
                <w:sz w:val="12"/>
                <w:szCs w:val="12"/>
                <w:color w:val="auto"/>
              </w:rPr>
              <w:t>Net cash used in investing activities</w:t>
            </w:r>
          </w:p>
        </w:tc>
        <w:tc>
          <w:tcPr>
            <w:tcW w:w="30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(64,426)</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(66,286)</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Proceeds from issuances of long-term debt</w:t>
            </w:r>
          </w:p>
        </w:tc>
        <w:tc>
          <w:tcPr>
            <w:tcW w:w="300" w:type="dxa"/>
            <w:vAlign w:val="bottom"/>
          </w:tcPr>
          <w:p>
            <w:pPr>
              <w:spacing w:after="0"/>
              <w:rPr>
                <w:sz w:val="11"/>
                <w:szCs w:val="11"/>
                <w:color w:val="auto"/>
              </w:rPr>
            </w:pPr>
          </w:p>
        </w:tc>
        <w:tc>
          <w:tcPr>
            <w:tcW w:w="9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6,000</w:t>
            </w:r>
          </w:p>
        </w:tc>
        <w:tc>
          <w:tcPr>
            <w:tcW w:w="220" w:type="dxa"/>
            <w:vAlign w:val="bottom"/>
          </w:tcPr>
          <w:p>
            <w:pPr>
              <w:spacing w:after="0"/>
              <w:rPr>
                <w:sz w:val="11"/>
                <w:szCs w:val="11"/>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78,500</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Payments of debt, net</w:t>
            </w:r>
          </w:p>
        </w:tc>
        <w:tc>
          <w:tcPr>
            <w:tcW w:w="30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(30,500)</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(9,000)</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Proceeds from issuances of capital stock</w:t>
            </w:r>
          </w:p>
        </w:tc>
        <w:tc>
          <w:tcPr>
            <w:tcW w:w="300" w:type="dxa"/>
            <w:vAlign w:val="bottom"/>
          </w:tcPr>
          <w:p>
            <w:pPr>
              <w:spacing w:after="0"/>
              <w:rPr>
                <w:sz w:val="11"/>
                <w:szCs w:val="11"/>
                <w:color w:val="auto"/>
              </w:rPr>
            </w:pPr>
          </w:p>
        </w:tc>
        <w:tc>
          <w:tcPr>
            <w:tcW w:w="9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3,409</w:t>
            </w:r>
          </w:p>
        </w:tc>
        <w:tc>
          <w:tcPr>
            <w:tcW w:w="220" w:type="dxa"/>
            <w:vAlign w:val="bottom"/>
          </w:tcPr>
          <w:p>
            <w:pPr>
              <w:spacing w:after="0"/>
              <w:rPr>
                <w:sz w:val="11"/>
                <w:szCs w:val="11"/>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313</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Repurchases of capital stock</w:t>
            </w:r>
          </w:p>
        </w:tc>
        <w:tc>
          <w:tcPr>
            <w:tcW w:w="30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(2,270)</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(43,294)</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Dividends paid</w:t>
            </w:r>
          </w:p>
        </w:tc>
        <w:tc>
          <w:tcPr>
            <w:tcW w:w="30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(27,382)</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(27,722)</w:t>
            </w:r>
          </w:p>
        </w:tc>
      </w:tr>
      <w:tr>
        <w:trPr>
          <w:trHeight w:val="135"/>
        </w:trPr>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20" w:type="dxa"/>
            <w:vAlign w:val="bottom"/>
          </w:tcPr>
          <w:p>
            <w:pPr>
              <w:ind w:left="560"/>
              <w:spacing w:after="0"/>
              <w:rPr>
                <w:sz w:val="20"/>
                <w:szCs w:val="20"/>
                <w:color w:val="auto"/>
              </w:rPr>
            </w:pPr>
            <w:r>
              <w:rPr>
                <w:rFonts w:ascii="Courier New" w:cs="Courier New" w:eastAsia="Courier New" w:hAnsi="Courier New"/>
                <w:sz w:val="12"/>
                <w:szCs w:val="12"/>
                <w:color w:val="auto"/>
              </w:rPr>
              <w:t>Net cash used in financing activities</w:t>
            </w:r>
          </w:p>
        </w:tc>
        <w:tc>
          <w:tcPr>
            <w:tcW w:w="30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(50,743)</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(1,203)</w:t>
            </w:r>
          </w:p>
        </w:tc>
      </w:tr>
      <w:tr>
        <w:trPr>
          <w:trHeight w:val="270"/>
        </w:trPr>
        <w:tc>
          <w:tcPr>
            <w:tcW w:w="4320" w:type="dxa"/>
            <w:vAlign w:val="bottom"/>
          </w:tcPr>
          <w:p>
            <w:pPr>
              <w:spacing w:after="0"/>
              <w:rPr>
                <w:sz w:val="20"/>
                <w:szCs w:val="20"/>
                <w:color w:val="auto"/>
              </w:rPr>
            </w:pPr>
            <w:r>
              <w:rPr>
                <w:rFonts w:ascii="Courier New" w:cs="Courier New" w:eastAsia="Courier New" w:hAnsi="Courier New"/>
                <w:sz w:val="12"/>
                <w:szCs w:val="12"/>
                <w:color w:val="auto"/>
              </w:rPr>
              <w:t>Net Increase (Decrease) in Cash and Cash Equivalents</w:t>
            </w:r>
          </w:p>
        </w:tc>
        <w:tc>
          <w:tcPr>
            <w:tcW w:w="3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(7,738)*</w:t>
            </w:r>
          </w:p>
        </w:tc>
        <w:tc>
          <w:tcPr>
            <w:tcW w:w="2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7,942</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2"/>
                <w:szCs w:val="12"/>
                <w:color w:val="auto"/>
              </w:rPr>
              <w:t>Other Cash Flow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Interest paid, net of amounts capitalized</w:t>
            </w:r>
          </w:p>
        </w:tc>
        <w:tc>
          <w:tcPr>
            <w:tcW w:w="3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(17,539)</w:t>
            </w:r>
          </w:p>
        </w:tc>
        <w:tc>
          <w:tcPr>
            <w:tcW w:w="2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(18,196)</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Income taxes paid, net of refunds</w:t>
            </w:r>
          </w:p>
        </w:tc>
        <w:tc>
          <w:tcPr>
            <w:tcW w:w="30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(19,855)</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(17,567)</w:t>
            </w:r>
          </w:p>
        </w:tc>
      </w:tr>
      <w:tr>
        <w:trPr>
          <w:trHeight w:val="270"/>
        </w:trPr>
        <w:tc>
          <w:tcPr>
            <w:tcW w:w="4320" w:type="dxa"/>
            <w:vAlign w:val="bottom"/>
          </w:tcPr>
          <w:p>
            <w:pPr>
              <w:spacing w:after="0"/>
              <w:rPr>
                <w:sz w:val="20"/>
                <w:szCs w:val="20"/>
                <w:color w:val="auto"/>
              </w:rPr>
            </w:pPr>
            <w:r>
              <w:rPr>
                <w:rFonts w:ascii="Courier New" w:cs="Courier New" w:eastAsia="Courier New" w:hAnsi="Courier New"/>
                <w:sz w:val="12"/>
                <w:szCs w:val="12"/>
                <w:color w:val="auto"/>
              </w:rPr>
              <w:t>Other Non-cash Information:</w:t>
            </w: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Accrued withdrawals from Capital Construction Fund, net</w:t>
            </w:r>
          </w:p>
        </w:tc>
        <w:tc>
          <w:tcPr>
            <w:tcW w:w="30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(3,620)</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(1,573)</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Depreciation expense</w:t>
            </w:r>
          </w:p>
        </w:tc>
        <w:tc>
          <w:tcPr>
            <w:tcW w:w="30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(56,041)</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(52,411)</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Tax-deferred property sales</w:t>
            </w:r>
          </w:p>
        </w:tc>
        <w:tc>
          <w:tcPr>
            <w:tcW w:w="300" w:type="dxa"/>
            <w:vAlign w:val="bottom"/>
          </w:tcPr>
          <w:p>
            <w:pPr>
              <w:spacing w:after="0"/>
              <w:rPr>
                <w:sz w:val="11"/>
                <w:szCs w:val="11"/>
                <w:color w:val="auto"/>
              </w:rPr>
            </w:pPr>
          </w:p>
        </w:tc>
        <w:tc>
          <w:tcPr>
            <w:tcW w:w="9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30,843</w:t>
            </w:r>
          </w:p>
        </w:tc>
        <w:tc>
          <w:tcPr>
            <w:tcW w:w="220" w:type="dxa"/>
            <w:vAlign w:val="bottom"/>
          </w:tcPr>
          <w:p>
            <w:pPr>
              <w:spacing w:after="0"/>
              <w:rPr>
                <w:sz w:val="11"/>
                <w:szCs w:val="11"/>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35,923</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Tax-deferred property purchases</w:t>
            </w:r>
          </w:p>
        </w:tc>
        <w:tc>
          <w:tcPr>
            <w:tcW w:w="30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(42,257)</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(23,134)</w:t>
            </w:r>
          </w:p>
        </w:tc>
      </w:tr>
      <w:tr>
        <w:trPr>
          <w:trHeight w:val="135"/>
        </w:trPr>
        <w:tc>
          <w:tcPr>
            <w:tcW w:w="4320" w:type="dxa"/>
            <w:vAlign w:val="bottom"/>
          </w:tcPr>
          <w:p>
            <w:pPr>
              <w:ind w:left="280"/>
              <w:spacing w:after="0"/>
              <w:rPr>
                <w:sz w:val="20"/>
                <w:szCs w:val="20"/>
                <w:color w:val="auto"/>
              </w:rPr>
            </w:pPr>
            <w:r>
              <w:rPr>
                <w:rFonts w:ascii="Courier New" w:cs="Courier New" w:eastAsia="Courier New" w:hAnsi="Courier New"/>
                <w:sz w:val="12"/>
                <w:szCs w:val="12"/>
                <w:color w:val="auto"/>
              </w:rPr>
              <w:t>Change in unrealized holding gains</w:t>
            </w:r>
          </w:p>
        </w:tc>
        <w:tc>
          <w:tcPr>
            <w:tcW w:w="300" w:type="dxa"/>
            <w:vAlign w:val="bottom"/>
          </w:tcPr>
          <w:p>
            <w:pPr>
              <w:spacing w:after="0"/>
              <w:rPr>
                <w:sz w:val="11"/>
                <w:szCs w:val="11"/>
                <w:color w:val="auto"/>
              </w:rPr>
            </w:pPr>
          </w:p>
        </w:tc>
        <w:tc>
          <w:tcPr>
            <w:tcW w:w="9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7,432</w:t>
            </w:r>
          </w:p>
        </w:tc>
        <w:tc>
          <w:tcPr>
            <w:tcW w:w="22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(2,182)</w:t>
            </w:r>
          </w:p>
        </w:tc>
      </w:tr>
    </w:tbl>
    <w:p>
      <w:pPr>
        <w:spacing w:after="0" w:line="200" w:lineRule="exact"/>
        <w:rPr>
          <w:sz w:val="20"/>
          <w:szCs w:val="20"/>
          <w:color w:val="auto"/>
        </w:rPr>
      </w:pPr>
    </w:p>
    <w:p>
      <w:pPr>
        <w:spacing w:after="0" w:line="209" w:lineRule="exact"/>
        <w:rPr>
          <w:sz w:val="20"/>
          <w:szCs w:val="20"/>
          <w:color w:val="auto"/>
        </w:rPr>
      </w:pPr>
    </w:p>
    <w:p>
      <w:pPr>
        <w:jc w:val="both"/>
        <w:ind w:right="4759"/>
        <w:spacing w:after="0" w:line="273" w:lineRule="auto"/>
        <w:rPr>
          <w:sz w:val="20"/>
          <w:szCs w:val="20"/>
          <w:color w:val="auto"/>
        </w:rPr>
      </w:pPr>
      <w:r>
        <w:rPr>
          <w:rFonts w:ascii="Courier New" w:cs="Courier New" w:eastAsia="Courier New" w:hAnsi="Courier New"/>
          <w:sz w:val="11"/>
          <w:szCs w:val="11"/>
          <w:color w:val="auto"/>
        </w:rPr>
        <w:t>*Includes $4.6 million of checks issued but not yet cleared. This is included with "Accounts payable" in the Condensed Balance Sheet for September 30, 2001.</w:t>
      </w:r>
    </w:p>
    <w:p>
      <w:pPr>
        <w:sectPr>
          <w:pgSz w:w="11900" w:h="16838" w:orient="portrait"/>
          <w:cols w:equalWidth="0" w:num="1">
            <w:col w:w="10239"/>
          </w:cols>
          <w:pgMar w:left="220" w:top="794" w:right="1440" w:bottom="1440" w:gutter="0" w:footer="0" w:header="0"/>
        </w:sectPr>
      </w:pPr>
    </w:p>
    <w:bookmarkStart w:id="5" w:name="page6"/>
    <w:bookmarkEnd w:id="5"/>
    <w:p>
      <w:pPr>
        <w:ind w:left="8"/>
        <w:spacing w:after="0"/>
        <w:rPr>
          <w:sz w:val="20"/>
          <w:szCs w:val="20"/>
          <w:color w:val="auto"/>
        </w:rPr>
      </w:pPr>
      <w:r>
        <w:rPr>
          <w:rFonts w:ascii="Courier New" w:cs="Courier New" w:eastAsia="Courier New" w:hAnsi="Courier New"/>
          <w:sz w:val="12"/>
          <w:szCs w:val="12"/>
          <w:color w:val="auto"/>
        </w:rPr>
        <w:t>Financial Notes</w:t>
      </w:r>
    </w:p>
    <w:p>
      <w:pPr>
        <w:ind w:left="8"/>
        <w:spacing w:after="0"/>
        <w:rPr>
          <w:sz w:val="20"/>
          <w:szCs w:val="20"/>
          <w:color w:val="auto"/>
        </w:rPr>
      </w:pPr>
      <w:r>
        <w:rPr>
          <w:rFonts w:ascii="Courier New" w:cs="Courier New" w:eastAsia="Courier New" w:hAnsi="Courier New"/>
          <w:sz w:val="12"/>
          <w:szCs w:val="12"/>
          <w:color w:val="auto"/>
        </w:rPr>
        <w:t>(Unaudited)</w:t>
      </w:r>
    </w:p>
    <w:p>
      <w:pPr>
        <w:spacing w:after="0" w:line="138" w:lineRule="exact"/>
        <w:rPr>
          <w:sz w:val="20"/>
          <w:szCs w:val="20"/>
          <w:color w:val="auto"/>
        </w:rPr>
      </w:pPr>
    </w:p>
    <w:p>
      <w:pPr>
        <w:ind w:left="348" w:right="4699" w:hanging="348"/>
        <w:spacing w:after="0" w:line="237"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Condensed Balance Sheet as of September 30, 2001, the Condensed Statements of Income for the three months and nine months ended September 30, 2001 and 2000, and the Condensed Statements of Cash Flows for the nine months ended September 30, 2001 and 2000 are unaudited. Because of the nature of the Company's operations, the results for interim periods are not necessarily indicative of results to be expected for the year, but in the opinion of management, all material adjustments necessary for the fair presentation of interim period results have been included in the interim financial statements.</w:t>
      </w:r>
    </w:p>
    <w:p>
      <w:pPr>
        <w:spacing w:after="0" w:line="142" w:lineRule="exact"/>
        <w:rPr>
          <w:rFonts w:ascii="Courier New" w:cs="Courier New" w:eastAsia="Courier New" w:hAnsi="Courier New"/>
          <w:sz w:val="12"/>
          <w:szCs w:val="12"/>
          <w:color w:val="auto"/>
        </w:rPr>
      </w:pPr>
    </w:p>
    <w:p>
      <w:pPr>
        <w:ind w:left="348" w:right="4699" w:hanging="348"/>
        <w:spacing w:after="0" w:line="236"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Estimated effective annual income tax rates differ from statutory rates, primarily due to the dividends-received deduction, various tax credits and the charitable donation of appreciated stock (See Note e).</w:t>
      </w:r>
    </w:p>
    <w:p>
      <w:pPr>
        <w:spacing w:after="0" w:line="139" w:lineRule="exact"/>
        <w:rPr>
          <w:rFonts w:ascii="Courier New" w:cs="Courier New" w:eastAsia="Courier New" w:hAnsi="Courier New"/>
          <w:sz w:val="12"/>
          <w:szCs w:val="12"/>
          <w:color w:val="auto"/>
        </w:rPr>
      </w:pPr>
    </w:p>
    <w:p>
      <w:pPr>
        <w:ind w:left="348" w:right="4699" w:hanging="348"/>
        <w:spacing w:after="0" w:line="237"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total non-owner changes in shareholders' equity consist of net income, adjusted for unrealized holding gains (losses) on securities (other comprehensive income). On this basis, comprehensive income for the three months ended September 30, 2001 and 2000 was $18.4 million and $29.5 million, respectively. Comprehensive income for the nine months ended September 30, 2001 and 2000 was $71.7 million and $73.8 million, respectively.</w:t>
      </w:r>
    </w:p>
    <w:p>
      <w:pPr>
        <w:spacing w:after="0" w:line="141" w:lineRule="exact"/>
        <w:rPr>
          <w:rFonts w:ascii="Courier New" w:cs="Courier New" w:eastAsia="Courier New" w:hAnsi="Courier New"/>
          <w:sz w:val="12"/>
          <w:szCs w:val="12"/>
          <w:color w:val="auto"/>
        </w:rPr>
      </w:pPr>
    </w:p>
    <w:p>
      <w:pPr>
        <w:ind w:left="348" w:right="4699" w:hanging="348"/>
        <w:spacing w:after="0" w:line="238"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cumulative effect of an accounting change in the first quarter of 2000 related to the treatment of vessel drydocking costs. The Company changed its method of accounting for these costs from the accrual method to the deferral method. Drydocking costs had been accrued as a liability and an expense on an estimated basis, in advance of the next scheduled drydocking. Under the deferral method, actual drydocking costs are capitalized when incurred and amortized over the period benefited. This change was made to conform with prevailing industry accounting practices. The cumulative effect of this accounting change, as of January 1, 2000, is shown separately in the Condensed Statements of Income and resulted in income of $12,250,000 (net of income tax expense of $7,668,000), or $0.30 per share.</w:t>
      </w:r>
    </w:p>
    <w:p>
      <w:pPr>
        <w:spacing w:after="0" w:line="138" w:lineRule="exact"/>
        <w:rPr>
          <w:rFonts w:ascii="Courier New" w:cs="Courier New" w:eastAsia="Courier New" w:hAnsi="Courier New"/>
          <w:sz w:val="12"/>
          <w:szCs w:val="12"/>
          <w:color w:val="auto"/>
        </w:rPr>
      </w:pPr>
    </w:p>
    <w:p>
      <w:pPr>
        <w:ind w:left="348"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effect of this change in accounting method as of January 1, 2000, on the Condensed Balance Sheets, was to increase Other Assets by $4,765,000, eliminate drydocking reserves of $15,153,000, increase deferred taxes by $7,668,000, and increase total shareholders' equity by $12,250,000. The pro-forma effect of the change on 2000 net income is the same as the reported amount of $63,778,000.</w:t>
      </w:r>
    </w:p>
    <w:p>
      <w:pPr>
        <w:spacing w:after="0" w:line="140" w:lineRule="exact"/>
        <w:rPr>
          <w:rFonts w:ascii="Courier New" w:cs="Courier New" w:eastAsia="Courier New" w:hAnsi="Courier New"/>
          <w:sz w:val="12"/>
          <w:szCs w:val="12"/>
          <w:color w:val="auto"/>
        </w:rPr>
      </w:pPr>
    </w:p>
    <w:p>
      <w:pPr>
        <w:ind w:left="348" w:right="4699" w:hanging="348"/>
        <w:spacing w:after="0" w:line="238"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During the first half of 2001, the Company divested its holdings in Pacific Century Financial Corporation ("Pacific Century") (NYSE:BOH). This was completed through the sales, in the second quarter, of 749,000 shares of the stock for $16,200,000 and the donations, in the first quarter, of 360,000 shares to the Company's charitable foundation. The fair value of the donated stock was $7.5 million and the historical cost basis of the donated shares was approximately $500,000. The net expense related to this contribution of $500,000 is included in the 2001 first quarter financial statements (Selling, general and administrative expense in the Condensed Statements of Income, and in Corporate Expenses, in the Industry Segment Data.) The after-tax gain on the sale of the Pacific Century stock was approximately $9.4 million, or $0.23 per share. This gain is included in the Company's 2001 second quarter financial results in the Condensed Statements of Income under "Interest, dividends and other" and in the Industry Segment Data under "Other."</w:t>
      </w:r>
    </w:p>
    <w:p>
      <w:pPr>
        <w:spacing w:after="0" w:line="139" w:lineRule="exact"/>
        <w:rPr>
          <w:rFonts w:ascii="Courier New" w:cs="Courier New" w:eastAsia="Courier New" w:hAnsi="Courier New"/>
          <w:sz w:val="12"/>
          <w:szCs w:val="12"/>
          <w:color w:val="auto"/>
        </w:rPr>
      </w:pPr>
    </w:p>
    <w:p>
      <w:pPr>
        <w:ind w:left="348" w:right="475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May 2001, BNP Paribas SA, France's largest bank, announced that, subject to regulatory, shareholder and other approvals, it would purchase the remaining 55 percent of BancWest Corporation ("BancWest") (NYSE:BWE) which it did not already own. This offer was 40 percent higher than the market price of BancWest's stock at the time of the offer. The transaction is expected to close during the fourth quarter of 2001.</w:t>
      </w:r>
    </w:p>
    <w:p>
      <w:pPr>
        <w:ind w:left="348" w:right="48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sale of the Company's holdings in BancWest, at $35 per share, would result in an after-tax realized gain of approximately $68 million, or $1.69 per share.</w:t>
      </w:r>
    </w:p>
    <w:p>
      <w:pPr>
        <w:spacing w:after="0" w:line="139" w:lineRule="exact"/>
        <w:rPr>
          <w:rFonts w:ascii="Courier New" w:cs="Courier New" w:eastAsia="Courier New" w:hAnsi="Courier New"/>
          <w:sz w:val="12"/>
          <w:szCs w:val="12"/>
          <w:color w:val="auto"/>
        </w:rPr>
      </w:pPr>
    </w:p>
    <w:p>
      <w:pPr>
        <w:ind w:left="348" w:right="4759" w:hanging="348"/>
        <w:spacing w:after="0" w:line="235"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Certain amounts have been reclassified to conform with the current year's presentation.</w:t>
      </w:r>
    </w:p>
    <w:p>
      <w:pPr>
        <w:spacing w:after="0" w:line="200" w:lineRule="exact"/>
        <w:rPr>
          <w:sz w:val="20"/>
          <w:szCs w:val="20"/>
          <w:color w:val="auto"/>
        </w:rPr>
      </w:pPr>
    </w:p>
    <w:p>
      <w:pPr>
        <w:spacing w:after="0" w:line="205"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ITEM 2.</w:t>
      </w:r>
      <w:r>
        <w:rPr>
          <w:sz w:val="20"/>
          <w:szCs w:val="20"/>
          <w:color w:val="auto"/>
        </w:rPr>
        <w:tab/>
      </w:r>
      <w:r>
        <w:rPr>
          <w:rFonts w:ascii="Courier New" w:cs="Courier New" w:eastAsia="Courier New" w:hAnsi="Courier New"/>
          <w:sz w:val="11"/>
          <w:szCs w:val="11"/>
          <w:color w:val="auto"/>
        </w:rPr>
        <w:t>MANAGEMENT'S DISCUSSION AND ANALYSIS</w:t>
      </w:r>
    </w:p>
    <w:p>
      <w:pPr>
        <w:ind w:left="8"/>
        <w:spacing w:after="0"/>
        <w:rPr>
          <w:sz w:val="20"/>
          <w:szCs w:val="20"/>
          <w:color w:val="auto"/>
        </w:rPr>
      </w:pPr>
      <w:r>
        <w:rPr>
          <w:rFonts w:ascii="Courier New" w:cs="Courier New" w:eastAsia="Courier New" w:hAnsi="Courier New"/>
          <w:sz w:val="12"/>
          <w:szCs w:val="12"/>
          <w:color w:val="auto"/>
        </w:rPr>
        <w:t>OF FINANCIAL CONDITION AND RESULTS OF OPERATIONS</w:t>
      </w:r>
    </w:p>
    <w:p>
      <w:pPr>
        <w:ind w:left="148" w:hanging="148"/>
        <w:spacing w:after="0" w:line="237" w:lineRule="auto"/>
        <w:tabs>
          <w:tab w:leader="none" w:pos="148"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4" w:lineRule="exact"/>
        <w:rPr>
          <w:rFonts w:ascii="Courier New" w:cs="Courier New" w:eastAsia="Courier New" w:hAnsi="Courier New"/>
          <w:sz w:val="12"/>
          <w:szCs w:val="12"/>
          <w:color w:val="auto"/>
        </w:rPr>
      </w:pP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THIRD QUARTER AND FIRST NINE MONTH EVENTS:</w:t>
      </w:r>
    </w:p>
    <w:p>
      <w:pPr>
        <w:spacing w:after="0" w:line="139" w:lineRule="exact"/>
        <w:rPr>
          <w:sz w:val="20"/>
          <w:szCs w:val="20"/>
          <w:color w:val="auto"/>
        </w:rPr>
      </w:pPr>
    </w:p>
    <w:p>
      <w:pPr>
        <w:jc w:val="both"/>
        <w:ind w:left="8" w:right="4839"/>
        <w:spacing w:after="0" w:line="237" w:lineRule="auto"/>
        <w:rPr>
          <w:sz w:val="20"/>
          <w:szCs w:val="20"/>
          <w:color w:val="auto"/>
        </w:rPr>
      </w:pPr>
      <w:r>
        <w:rPr>
          <w:rFonts w:ascii="Courier New" w:cs="Courier New" w:eastAsia="Courier New" w:hAnsi="Courier New"/>
          <w:sz w:val="12"/>
          <w:szCs w:val="12"/>
          <w:color w:val="auto"/>
        </w:rPr>
        <w:t>Operating Results: Net income for the third quarter of 2001 was $17,312,000, or $0.42 per basic share. Net income for the comparable period of 2000 was $21,354,000, or $0.53 per basic share. Revenue in the third quarter of 2001 was $264,093,000, compared with revenue of $285,786,000 in the third quarter of 2000.</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Net income for the first nine months of 2001 was $64,260,000, or $1.58 per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basic share, compared with $76,028,000, or $1.85 per basic share in the first</w:t>
      </w:r>
    </w:p>
    <w:p>
      <w:pPr>
        <w:spacing w:after="0" w:line="6" w:lineRule="exact"/>
        <w:rPr>
          <w:sz w:val="20"/>
          <w:szCs w:val="20"/>
          <w:color w:val="auto"/>
        </w:rPr>
      </w:pPr>
    </w:p>
    <w:p>
      <w:pPr>
        <w:ind w:left="8"/>
        <w:spacing w:after="0"/>
        <w:tabs>
          <w:tab w:leader="none" w:pos="1528" w:val="left"/>
        </w:tabs>
        <w:rPr>
          <w:sz w:val="20"/>
          <w:szCs w:val="20"/>
          <w:color w:val="auto"/>
        </w:rPr>
      </w:pPr>
      <w:r>
        <w:rPr>
          <w:rFonts w:ascii="Courier New" w:cs="Courier New" w:eastAsia="Courier New" w:hAnsi="Courier New"/>
          <w:sz w:val="12"/>
          <w:szCs w:val="12"/>
          <w:color w:val="auto"/>
        </w:rPr>
        <w:t>nine months of 2000.</w:t>
      </w:r>
      <w:r>
        <w:rPr>
          <w:sz w:val="20"/>
          <w:szCs w:val="20"/>
          <w:color w:val="auto"/>
        </w:rPr>
        <w:tab/>
      </w:r>
      <w:r>
        <w:rPr>
          <w:rFonts w:ascii="Courier New" w:cs="Courier New" w:eastAsia="Courier New" w:hAnsi="Courier New"/>
          <w:sz w:val="11"/>
          <w:szCs w:val="11"/>
          <w:color w:val="auto"/>
        </w:rPr>
        <w:t>The 2000 net income includes a change in accounting for</w:t>
      </w:r>
    </w:p>
    <w:p>
      <w:pPr>
        <w:ind w:left="8"/>
        <w:spacing w:after="0"/>
        <w:rPr>
          <w:sz w:val="20"/>
          <w:szCs w:val="20"/>
          <w:color w:val="auto"/>
        </w:rPr>
      </w:pPr>
      <w:r>
        <w:rPr>
          <w:rFonts w:ascii="Courier New" w:cs="Courier New" w:eastAsia="Courier New" w:hAnsi="Courier New"/>
          <w:sz w:val="12"/>
          <w:szCs w:val="12"/>
          <w:color w:val="auto"/>
        </w:rPr>
        <w:t>vessel drydocking costs that resulted in a one-time non-cash increase of</w:t>
      </w:r>
    </w:p>
    <w:p>
      <w:pPr>
        <w:ind w:left="8"/>
        <w:spacing w:after="0"/>
        <w:tabs>
          <w:tab w:leader="none" w:pos="3628" w:val="left"/>
        </w:tabs>
        <w:rPr>
          <w:sz w:val="20"/>
          <w:szCs w:val="20"/>
          <w:color w:val="auto"/>
        </w:rPr>
      </w:pPr>
      <w:r>
        <w:rPr>
          <w:rFonts w:ascii="Courier New" w:cs="Courier New" w:eastAsia="Courier New" w:hAnsi="Courier New"/>
          <w:sz w:val="12"/>
          <w:szCs w:val="12"/>
          <w:color w:val="auto"/>
        </w:rPr>
        <w:t>$12,250,000 in net income ($0.30 per basic share).</w:t>
      </w:r>
      <w:r>
        <w:rPr>
          <w:sz w:val="20"/>
          <w:szCs w:val="20"/>
          <w:color w:val="auto"/>
        </w:rPr>
        <w:tab/>
      </w:r>
      <w:r>
        <w:rPr>
          <w:rFonts w:ascii="Courier New" w:cs="Courier New" w:eastAsia="Courier New" w:hAnsi="Courier New"/>
          <w:sz w:val="11"/>
          <w:szCs w:val="11"/>
          <w:color w:val="auto"/>
        </w:rPr>
        <w:t>This change is described</w:t>
      </w:r>
    </w:p>
    <w:p>
      <w:pPr>
        <w:ind w:left="8"/>
        <w:spacing w:after="0"/>
        <w:tabs>
          <w:tab w:leader="none" w:pos="4268" w:val="left"/>
        </w:tabs>
        <w:rPr>
          <w:sz w:val="20"/>
          <w:szCs w:val="20"/>
          <w:color w:val="auto"/>
        </w:rPr>
      </w:pPr>
      <w:r>
        <w:rPr>
          <w:rFonts w:ascii="Courier New" w:cs="Courier New" w:eastAsia="Courier New" w:hAnsi="Courier New"/>
          <w:sz w:val="12"/>
          <w:szCs w:val="12"/>
          <w:color w:val="auto"/>
        </w:rPr>
        <w:t>in Note (d) to the third quarter 2001 financial statements.</w:t>
      </w:r>
      <w:r>
        <w:rPr>
          <w:sz w:val="20"/>
          <w:szCs w:val="20"/>
          <w:color w:val="auto"/>
        </w:rPr>
        <w:tab/>
      </w:r>
      <w:r>
        <w:rPr>
          <w:rFonts w:ascii="Courier New" w:cs="Courier New" w:eastAsia="Courier New" w:hAnsi="Courier New"/>
          <w:sz w:val="11"/>
          <w:szCs w:val="11"/>
          <w:color w:val="auto"/>
        </w:rPr>
        <w:t>Excluding the</w:t>
      </w:r>
    </w:p>
    <w:p>
      <w:pPr>
        <w:ind w:left="8"/>
        <w:spacing w:after="0" w:line="237" w:lineRule="auto"/>
        <w:rPr>
          <w:sz w:val="20"/>
          <w:szCs w:val="20"/>
          <w:color w:val="auto"/>
        </w:rPr>
      </w:pPr>
      <w:r>
        <w:rPr>
          <w:rFonts w:ascii="Courier New" w:cs="Courier New" w:eastAsia="Courier New" w:hAnsi="Courier New"/>
          <w:sz w:val="12"/>
          <w:szCs w:val="12"/>
          <w:color w:val="auto"/>
        </w:rPr>
        <w:t>change in accounting, net income rose by $482,000, compared with the first</w:t>
      </w:r>
    </w:p>
    <w:p>
      <w:pPr>
        <w:ind w:left="8"/>
        <w:spacing w:after="0"/>
        <w:rPr>
          <w:sz w:val="20"/>
          <w:szCs w:val="20"/>
          <w:color w:val="auto"/>
        </w:rPr>
      </w:pPr>
      <w:r>
        <w:rPr>
          <w:rFonts w:ascii="Courier New" w:cs="Courier New" w:eastAsia="Courier New" w:hAnsi="Courier New"/>
          <w:sz w:val="12"/>
          <w:szCs w:val="12"/>
          <w:color w:val="auto"/>
        </w:rPr>
        <w:t>nine months of 2000.</w:t>
      </w:r>
    </w:p>
    <w:p>
      <w:pPr>
        <w:spacing w:after="0" w:line="134" w:lineRule="exact"/>
        <w:rPr>
          <w:sz w:val="20"/>
          <w:szCs w:val="20"/>
          <w:color w:val="auto"/>
        </w:rPr>
      </w:pPr>
    </w:p>
    <w:p>
      <w:pPr>
        <w:ind w:left="8"/>
        <w:spacing w:after="0"/>
        <w:tabs>
          <w:tab w:leader="none" w:pos="4548" w:val="left"/>
        </w:tabs>
        <w:rPr>
          <w:sz w:val="20"/>
          <w:szCs w:val="20"/>
          <w:color w:val="auto"/>
        </w:rPr>
      </w:pPr>
      <w:r>
        <w:rPr>
          <w:rFonts w:ascii="Courier New" w:cs="Courier New" w:eastAsia="Courier New" w:hAnsi="Courier New"/>
          <w:sz w:val="12"/>
          <w:szCs w:val="12"/>
          <w:color w:val="auto"/>
        </w:rPr>
        <w:t>In the third quarter of 2001, operating profit was $34,685,000.</w:t>
      </w:r>
      <w:r>
        <w:rPr>
          <w:sz w:val="20"/>
          <w:szCs w:val="20"/>
          <w:color w:val="auto"/>
        </w:rPr>
        <w:tab/>
      </w:r>
      <w:r>
        <w:rPr>
          <w:rFonts w:ascii="Courier New" w:cs="Courier New" w:eastAsia="Courier New" w:hAnsi="Courier New"/>
          <w:sz w:val="11"/>
          <w:szCs w:val="11"/>
          <w:color w:val="auto"/>
        </w:rPr>
        <w:t>This was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$8,006,000, or 19-percent, lower than the $42,691,000 in the third quarter of</w:t>
      </w:r>
    </w:p>
    <w:p>
      <w:pPr>
        <w:spacing w:after="0" w:line="6" w:lineRule="exact"/>
        <w:rPr>
          <w:sz w:val="20"/>
          <w:szCs w:val="20"/>
          <w:color w:val="auto"/>
        </w:rPr>
      </w:pPr>
    </w:p>
    <w:p>
      <w:pPr>
        <w:ind w:left="8"/>
        <w:spacing w:after="0"/>
        <w:tabs>
          <w:tab w:leader="none" w:pos="468" w:val="left"/>
        </w:tabs>
        <w:rPr>
          <w:sz w:val="20"/>
          <w:szCs w:val="20"/>
          <w:color w:val="auto"/>
        </w:rPr>
      </w:pPr>
      <w:r>
        <w:rPr>
          <w:rFonts w:ascii="Courier New" w:cs="Courier New" w:eastAsia="Courier New" w:hAnsi="Courier New"/>
          <w:sz w:val="12"/>
          <w:szCs w:val="12"/>
          <w:color w:val="auto"/>
        </w:rPr>
        <w:t>2000.</w:t>
      </w:r>
      <w:r>
        <w:rPr>
          <w:sz w:val="20"/>
          <w:szCs w:val="20"/>
          <w:color w:val="auto"/>
        </w:rPr>
        <w:tab/>
      </w:r>
      <w:r>
        <w:rPr>
          <w:rFonts w:ascii="Courier New" w:cs="Courier New" w:eastAsia="Courier New" w:hAnsi="Courier New"/>
          <w:sz w:val="11"/>
          <w:szCs w:val="11"/>
          <w:color w:val="auto"/>
        </w:rPr>
        <w:t>For the first nine months of this year, operating profit was</w:t>
      </w:r>
    </w:p>
    <w:p>
      <w:pPr>
        <w:ind w:left="8"/>
        <w:spacing w:after="0"/>
        <w:rPr>
          <w:sz w:val="20"/>
          <w:szCs w:val="20"/>
          <w:color w:val="auto"/>
        </w:rPr>
      </w:pPr>
      <w:r>
        <w:rPr>
          <w:rFonts w:ascii="Courier New" w:cs="Courier New" w:eastAsia="Courier New" w:hAnsi="Courier New"/>
          <w:sz w:val="12"/>
          <w:szCs w:val="12"/>
          <w:color w:val="auto"/>
        </w:rPr>
        <w:t>$126,838,000, an increase of $451,000, versus $126,387,000 in the first nine</w:t>
      </w:r>
    </w:p>
    <w:p>
      <w:pPr>
        <w:ind w:left="8"/>
        <w:spacing w:after="0" w:line="237" w:lineRule="auto"/>
        <w:rPr>
          <w:sz w:val="20"/>
          <w:szCs w:val="20"/>
          <w:color w:val="auto"/>
        </w:rPr>
      </w:pPr>
      <w:r>
        <w:rPr>
          <w:rFonts w:ascii="Courier New" w:cs="Courier New" w:eastAsia="Courier New" w:hAnsi="Courier New"/>
          <w:sz w:val="12"/>
          <w:szCs w:val="12"/>
          <w:color w:val="auto"/>
        </w:rPr>
        <w:t>months of 2000.</w:t>
      </w:r>
    </w:p>
    <w:p>
      <w:pPr>
        <w:spacing w:after="0" w:line="139" w:lineRule="exact"/>
        <w:rPr>
          <w:sz w:val="20"/>
          <w:szCs w:val="20"/>
          <w:color w:val="auto"/>
        </w:rPr>
      </w:pPr>
    </w:p>
    <w:p>
      <w:pPr>
        <w:jc w:val="both"/>
        <w:ind w:left="8" w:right="5119"/>
        <w:spacing w:after="0" w:line="273" w:lineRule="auto"/>
        <w:rPr>
          <w:sz w:val="20"/>
          <w:szCs w:val="20"/>
          <w:color w:val="auto"/>
        </w:rPr>
      </w:pPr>
      <w:r>
        <w:rPr>
          <w:rFonts w:ascii="Courier New" w:cs="Courier New" w:eastAsia="Courier New" w:hAnsi="Courier New"/>
          <w:sz w:val="11"/>
          <w:szCs w:val="11"/>
          <w:color w:val="auto"/>
        </w:rPr>
        <w:t>Interest expense in both periods of 2001 was lower than in the comparable periods in 2000, reflecting both lower rates and decreased debt balances.</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FINANCIAL CONDITION AND LIQUIDITY</w:t>
      </w: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The Company's principal liquid resources, comprising cash and cash equivalents,</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receivables, sugar and coffee inventories and unused lines of credit, less</w:t>
      </w:r>
    </w:p>
    <w:p>
      <w:pPr>
        <w:ind w:left="8"/>
        <w:spacing w:after="0"/>
        <w:rPr>
          <w:sz w:val="20"/>
          <w:szCs w:val="20"/>
          <w:color w:val="auto"/>
        </w:rPr>
      </w:pPr>
      <w:r>
        <w:rPr>
          <w:rFonts w:ascii="Courier New" w:cs="Courier New" w:eastAsia="Courier New" w:hAnsi="Courier New"/>
          <w:sz w:val="12"/>
          <w:szCs w:val="12"/>
          <w:color w:val="auto"/>
        </w:rPr>
        <w:t>accrued deposits to the Capital Construction Fund, totaled $398,933,000 at</w:t>
      </w:r>
    </w:p>
    <w:p>
      <w:pPr>
        <w:ind w:left="8"/>
        <w:spacing w:after="0"/>
        <w:tabs>
          <w:tab w:leader="none" w:pos="5108" w:val="left"/>
        </w:tabs>
        <w:rPr>
          <w:sz w:val="20"/>
          <w:szCs w:val="20"/>
          <w:color w:val="auto"/>
        </w:rPr>
      </w:pPr>
      <w:r>
        <w:rPr>
          <w:rFonts w:ascii="Courier New" w:cs="Courier New" w:eastAsia="Courier New" w:hAnsi="Courier New"/>
          <w:sz w:val="12"/>
          <w:szCs w:val="12"/>
          <w:color w:val="auto"/>
        </w:rPr>
        <w:t>September 30, 2001, an increase of $153,861,000 from December 31, 2000.</w:t>
      </w:r>
      <w:r>
        <w:rPr>
          <w:sz w:val="20"/>
          <w:szCs w:val="20"/>
          <w:color w:val="auto"/>
        </w:rPr>
        <w:tab/>
      </w:r>
      <w:r>
        <w:rPr>
          <w:rFonts w:ascii="Courier New" w:cs="Courier New" w:eastAsia="Courier New" w:hAnsi="Courier New"/>
          <w:sz w:val="11"/>
          <w:szCs w:val="11"/>
          <w:color w:val="auto"/>
        </w:rPr>
        <w:t>This</w:t>
      </w:r>
    </w:p>
    <w:p>
      <w:pPr>
        <w:ind w:left="8"/>
        <w:spacing w:after="0"/>
        <w:rPr>
          <w:sz w:val="20"/>
          <w:szCs w:val="20"/>
          <w:color w:val="auto"/>
        </w:rPr>
      </w:pPr>
      <w:r>
        <w:rPr>
          <w:rFonts w:ascii="Courier New" w:cs="Courier New" w:eastAsia="Courier New" w:hAnsi="Courier New"/>
          <w:sz w:val="12"/>
          <w:szCs w:val="12"/>
          <w:color w:val="auto"/>
        </w:rPr>
        <w:t>net increase was due primarily to $140,000,000 for new debt facilities, a</w:t>
      </w:r>
    </w:p>
    <w:p>
      <w:pPr>
        <w:ind w:left="8"/>
        <w:spacing w:after="0" w:line="237" w:lineRule="auto"/>
        <w:rPr>
          <w:sz w:val="20"/>
          <w:szCs w:val="20"/>
          <w:color w:val="auto"/>
        </w:rPr>
      </w:pPr>
      <w:r>
        <w:rPr>
          <w:rFonts w:ascii="Courier New" w:cs="Courier New" w:eastAsia="Courier New" w:hAnsi="Courier New"/>
          <w:sz w:val="12"/>
          <w:szCs w:val="12"/>
          <w:color w:val="auto"/>
        </w:rPr>
        <w:t>$45,000,000 increase in the Company's multi-bank revolving credit facility,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$7,500,000 lower drawn balances on variable rate facilities, and agricultural</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inventories which were $1,600,000 higher than at year-end 2000 (due to</w:t>
      </w:r>
    </w:p>
    <w:p>
      <w:pPr>
        <w:ind w:left="8"/>
        <w:spacing w:after="0"/>
        <w:rPr>
          <w:sz w:val="20"/>
          <w:szCs w:val="20"/>
          <w:color w:val="auto"/>
        </w:rPr>
      </w:pPr>
      <w:r>
        <w:rPr>
          <w:rFonts w:ascii="Courier New" w:cs="Courier New" w:eastAsia="Courier New" w:hAnsi="Courier New"/>
          <w:sz w:val="12"/>
          <w:szCs w:val="12"/>
          <w:color w:val="auto"/>
        </w:rPr>
        <w:t>seasonality of production cycles), partially offset by the expiration and</w:t>
      </w:r>
    </w:p>
    <w:p>
      <w:pPr>
        <w:ind w:left="8"/>
        <w:spacing w:after="0" w:line="237" w:lineRule="auto"/>
        <w:rPr>
          <w:sz w:val="20"/>
          <w:szCs w:val="20"/>
          <w:color w:val="auto"/>
        </w:rPr>
      </w:pPr>
      <w:r>
        <w:rPr>
          <w:rFonts w:ascii="Courier New" w:cs="Courier New" w:eastAsia="Courier New" w:hAnsi="Courier New"/>
          <w:sz w:val="12"/>
          <w:szCs w:val="12"/>
          <w:color w:val="auto"/>
        </w:rPr>
        <w:t>non-renewal of a $25,000,000 uncommitted short-term facility, and lower</w:t>
      </w:r>
    </w:p>
    <w:p>
      <w:pPr>
        <w:ind w:left="8"/>
        <w:spacing w:after="0"/>
        <w:rPr>
          <w:sz w:val="20"/>
          <w:szCs w:val="20"/>
          <w:color w:val="auto"/>
        </w:rPr>
      </w:pPr>
      <w:r>
        <w:rPr>
          <w:rFonts w:ascii="Courier New" w:cs="Courier New" w:eastAsia="Courier New" w:hAnsi="Courier New"/>
          <w:sz w:val="12"/>
          <w:szCs w:val="12"/>
          <w:color w:val="auto"/>
        </w:rPr>
        <w:t>receivables and cash balances.</w:t>
      </w:r>
    </w:p>
    <w:p>
      <w:pPr>
        <w:sectPr>
          <w:pgSz w:w="11900" w:h="16838" w:orient="portrait"/>
          <w:cols w:equalWidth="0" w:num="1">
            <w:col w:w="10247"/>
          </w:cols>
          <w:pgMar w:left="212" w:top="524"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2"/>
          <w:szCs w:val="12"/>
          <w:color w:val="auto"/>
        </w:rPr>
        <w:t>Working capital was $35,525,000 at September 30, 2001, a decrease of</w:t>
      </w:r>
    </w:p>
    <w:p>
      <w:pPr>
        <w:spacing w:after="0" w:line="4"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$20,336,000 from the amount at the end of 2000. The lower working capital was due primarily to lower trade receivables, a lower inventory of residential units, higher income taxes payable, and lower cash balances, partially offset by higher agricultural products inventory. The lower inventory of residential units was due to active sales of residential units on Maui. The remaining factors are the result of normal seasonality.</w:t>
      </w: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SEGMENT OPERATIONS -</w:t>
      </w:r>
    </w:p>
    <w:p>
      <w:pPr>
        <w:spacing w:after="0"/>
        <w:rPr>
          <w:sz w:val="20"/>
          <w:szCs w:val="20"/>
          <w:color w:val="auto"/>
        </w:rPr>
      </w:pPr>
      <w:r>
        <w:rPr>
          <w:rFonts w:ascii="Courier New" w:cs="Courier New" w:eastAsia="Courier New" w:hAnsi="Courier New"/>
          <w:sz w:val="12"/>
          <w:szCs w:val="12"/>
          <w:color w:val="auto"/>
        </w:rPr>
        <w:t>THIRD QUARTER 2001 COMPARED WITH THE THIRD QUARTER 2000</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Ocean Transportation revenue of $207,828,000 for the third quarter of 2001</w:t>
      </w:r>
    </w:p>
    <w:p>
      <w:pPr>
        <w:spacing w:after="0"/>
        <w:rPr>
          <w:sz w:val="20"/>
          <w:szCs w:val="20"/>
          <w:color w:val="auto"/>
        </w:rPr>
      </w:pPr>
      <w:r>
        <w:rPr>
          <w:rFonts w:ascii="Courier New" w:cs="Courier New" w:eastAsia="Courier New" w:hAnsi="Courier New"/>
          <w:sz w:val="12"/>
          <w:szCs w:val="12"/>
          <w:color w:val="auto"/>
        </w:rPr>
        <w:t>decreased six-percent from the $220,759,000 reported in the third quarter of</w:t>
      </w:r>
    </w:p>
    <w:p>
      <w:pPr>
        <w:spacing w:after="0"/>
        <w:tabs>
          <w:tab w:leader="none" w:pos="460" w:val="left"/>
        </w:tabs>
        <w:rPr>
          <w:sz w:val="20"/>
          <w:szCs w:val="20"/>
          <w:color w:val="auto"/>
        </w:rPr>
      </w:pPr>
      <w:r>
        <w:rPr>
          <w:rFonts w:ascii="Courier New" w:cs="Courier New" w:eastAsia="Courier New" w:hAnsi="Courier New"/>
          <w:sz w:val="12"/>
          <w:szCs w:val="12"/>
          <w:color w:val="auto"/>
        </w:rPr>
        <w:t>2000.</w:t>
      </w:r>
      <w:r>
        <w:rPr>
          <w:sz w:val="20"/>
          <w:szCs w:val="20"/>
          <w:color w:val="auto"/>
        </w:rPr>
        <w:tab/>
      </w:r>
      <w:r>
        <w:rPr>
          <w:rFonts w:ascii="Courier New" w:cs="Courier New" w:eastAsia="Courier New" w:hAnsi="Courier New"/>
          <w:sz w:val="11"/>
          <w:szCs w:val="11"/>
          <w:color w:val="auto"/>
        </w:rPr>
        <w:t>Operating profit of $24,245,000 decreased seven percent from the</w:t>
      </w:r>
    </w:p>
    <w:p>
      <w:pPr>
        <w:spacing w:after="0"/>
        <w:tabs>
          <w:tab w:leader="none" w:pos="3620" w:val="left"/>
        </w:tabs>
        <w:rPr>
          <w:sz w:val="20"/>
          <w:szCs w:val="20"/>
          <w:color w:val="auto"/>
        </w:rPr>
      </w:pPr>
      <w:r>
        <w:rPr>
          <w:rFonts w:ascii="Courier New" w:cs="Courier New" w:eastAsia="Courier New" w:hAnsi="Courier New"/>
          <w:sz w:val="12"/>
          <w:szCs w:val="12"/>
          <w:color w:val="auto"/>
        </w:rPr>
        <w:t>$26,106,000 reported in the third quarter of 2000.</w:t>
      </w:r>
      <w:r>
        <w:rPr>
          <w:sz w:val="20"/>
          <w:szCs w:val="20"/>
          <w:color w:val="auto"/>
        </w:rPr>
        <w:tab/>
      </w:r>
      <w:r>
        <w:rPr>
          <w:rFonts w:ascii="Courier New" w:cs="Courier New" w:eastAsia="Courier New" w:hAnsi="Courier New"/>
          <w:sz w:val="11"/>
          <w:szCs w:val="11"/>
          <w:color w:val="auto"/>
        </w:rPr>
        <w:t>The lower revenue was due</w:t>
      </w:r>
    </w:p>
    <w:p>
      <w:pPr>
        <w:spacing w:after="0" w:line="237" w:lineRule="auto"/>
        <w:rPr>
          <w:sz w:val="20"/>
          <w:szCs w:val="20"/>
          <w:color w:val="auto"/>
        </w:rPr>
      </w:pPr>
      <w:r>
        <w:rPr>
          <w:rFonts w:ascii="Courier New" w:cs="Courier New" w:eastAsia="Courier New" w:hAnsi="Courier New"/>
          <w:sz w:val="12"/>
          <w:szCs w:val="12"/>
          <w:color w:val="auto"/>
        </w:rPr>
        <w:t>mainly to the discontinuation in 2000 of the Company's Pacific Coast shuttle</w:t>
      </w:r>
    </w:p>
    <w:p>
      <w:pPr>
        <w:spacing w:after="0"/>
        <w:tabs>
          <w:tab w:leader="none" w:pos="2720" w:val="left"/>
        </w:tabs>
        <w:rPr>
          <w:sz w:val="20"/>
          <w:szCs w:val="20"/>
          <w:color w:val="auto"/>
        </w:rPr>
      </w:pPr>
      <w:r>
        <w:rPr>
          <w:rFonts w:ascii="Courier New" w:cs="Courier New" w:eastAsia="Courier New" w:hAnsi="Courier New"/>
          <w:sz w:val="12"/>
          <w:szCs w:val="12"/>
          <w:color w:val="auto"/>
        </w:rPr>
        <w:t>service and lower intermodal revenue.</w:t>
      </w:r>
      <w:r>
        <w:rPr>
          <w:sz w:val="20"/>
          <w:szCs w:val="20"/>
          <w:color w:val="auto"/>
        </w:rPr>
        <w:tab/>
      </w:r>
      <w:r>
        <w:rPr>
          <w:rFonts w:ascii="Courier New" w:cs="Courier New" w:eastAsia="Courier New" w:hAnsi="Courier New"/>
          <w:sz w:val="11"/>
          <w:szCs w:val="11"/>
          <w:color w:val="auto"/>
        </w:rPr>
        <w:t>These two revenue reduction factors,</w:t>
      </w:r>
    </w:p>
    <w:p>
      <w:pPr>
        <w:spacing w:after="0"/>
        <w:tabs>
          <w:tab w:leader="none" w:pos="3560" w:val="left"/>
          <w:tab w:leader="none" w:pos="4180" w:val="left"/>
        </w:tabs>
        <w:rPr>
          <w:sz w:val="20"/>
          <w:szCs w:val="20"/>
          <w:color w:val="auto"/>
        </w:rPr>
      </w:pPr>
      <w:r>
        <w:rPr>
          <w:rFonts w:ascii="Courier New" w:cs="Courier New" w:eastAsia="Courier New" w:hAnsi="Courier New"/>
          <w:sz w:val="12"/>
          <w:szCs w:val="12"/>
          <w:color w:val="auto"/>
        </w:rPr>
        <w:t>however, had little impact on the lower operating</w:t>
        <w:tab/>
        <w:t>profit.</w:t>
      </w:r>
      <w:r>
        <w:rPr>
          <w:sz w:val="20"/>
          <w:szCs w:val="20"/>
          <w:color w:val="auto"/>
        </w:rPr>
        <w:tab/>
      </w:r>
      <w:r>
        <w:rPr>
          <w:rFonts w:ascii="Courier New" w:cs="Courier New" w:eastAsia="Courier New" w:hAnsi="Courier New"/>
          <w:sz w:val="11"/>
          <w:szCs w:val="11"/>
          <w:color w:val="auto"/>
        </w:rPr>
        <w:t>The decrease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operating profit resulted primarily from modestly lower cargo volume, slower-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than-expected improvement in productivity resulting from a terminal improvement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project, and the Company's share of lower results from investments in a</w:t>
      </w:r>
    </w:p>
    <w:p>
      <w:pPr>
        <w:spacing w:after="0"/>
        <w:tabs>
          <w:tab w:leader="none" w:pos="4740" w:val="left"/>
        </w:tabs>
        <w:rPr>
          <w:sz w:val="20"/>
          <w:szCs w:val="20"/>
          <w:color w:val="auto"/>
        </w:rPr>
      </w:pPr>
      <w:r>
        <w:rPr>
          <w:rFonts w:ascii="Courier New" w:cs="Courier New" w:eastAsia="Courier New" w:hAnsi="Courier New"/>
          <w:sz w:val="12"/>
          <w:szCs w:val="12"/>
          <w:color w:val="auto"/>
        </w:rPr>
        <w:t>shipping operation in Puerto Rico and a stevedoring joint venture.</w:t>
      </w:r>
      <w:r>
        <w:rPr>
          <w:sz w:val="20"/>
          <w:szCs w:val="20"/>
          <w:color w:val="auto"/>
        </w:rPr>
        <w:tab/>
      </w:r>
      <w:r>
        <w:rPr>
          <w:rFonts w:ascii="Courier New" w:cs="Courier New" w:eastAsia="Courier New" w:hAnsi="Courier New"/>
          <w:sz w:val="11"/>
          <w:szCs w:val="11"/>
          <w:color w:val="auto"/>
        </w:rPr>
        <w:t>These were</w:t>
      </w:r>
    </w:p>
    <w:p>
      <w:pPr>
        <w:spacing w:after="0" w:line="237" w:lineRule="auto"/>
        <w:rPr>
          <w:sz w:val="20"/>
          <w:szCs w:val="20"/>
          <w:color w:val="auto"/>
        </w:rPr>
      </w:pPr>
      <w:r>
        <w:rPr>
          <w:rFonts w:ascii="Courier New" w:cs="Courier New" w:eastAsia="Courier New" w:hAnsi="Courier New"/>
          <w:sz w:val="12"/>
          <w:szCs w:val="12"/>
          <w:color w:val="auto"/>
        </w:rPr>
        <w:t>offset, in part, by the benefits of contract carriage for a competitor, the</w:t>
      </w:r>
    </w:p>
    <w:p>
      <w:pPr>
        <w:spacing w:after="0"/>
        <w:tabs>
          <w:tab w:leader="none" w:pos="3840" w:val="left"/>
        </w:tabs>
        <w:rPr>
          <w:sz w:val="20"/>
          <w:szCs w:val="20"/>
          <w:color w:val="auto"/>
        </w:rPr>
      </w:pPr>
      <w:r>
        <w:rPr>
          <w:rFonts w:ascii="Courier New" w:cs="Courier New" w:eastAsia="Courier New" w:hAnsi="Courier New"/>
          <w:sz w:val="12"/>
          <w:szCs w:val="12"/>
          <w:color w:val="auto"/>
        </w:rPr>
        <w:t>sale of a small subsidiary and higher shipping rates.</w:t>
      </w:r>
      <w:r>
        <w:rPr>
          <w:sz w:val="20"/>
          <w:szCs w:val="20"/>
          <w:color w:val="auto"/>
        </w:rPr>
        <w:tab/>
      </w:r>
      <w:r>
        <w:rPr>
          <w:rFonts w:ascii="Courier New" w:cs="Courier New" w:eastAsia="Courier New" w:hAnsi="Courier New"/>
          <w:sz w:val="11"/>
          <w:szCs w:val="11"/>
          <w:color w:val="auto"/>
        </w:rPr>
        <w:t>Third quarter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Hawaii service container volume was four-percent lower than in the 2000 third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quarter, and automobile volume was 11-percent lower.</w:t>
      </w:r>
    </w:p>
    <w:p>
      <w:pPr>
        <w:spacing w:after="0" w:line="139"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Property Development and Management - Leasing revenue of $18,103,000 and operating profit of $8,704,000 for the third quarter of 2001 were both 17 percent higher than in the third quarter of 2000. These increases were due primarily to additions to the property portfolio in late 2000 and early 2001, and higher Hawaii occupancy levels. Third quarter 2001 occupancy levels for Mainland properties averaged 93 percent, versus 96 percent in the third quarter of 2000. Occupancy levels for Hawaii properties averaged 90 percent in the third quarter of 2001, versus 85 percent a year earlier. Mainland occupancy declined, due to lease expirations for several large industrial tenants. The increase in Hawaii occupancy was due primarily to higher tenancy in retail and warehouse properties.</w:t>
      </w:r>
    </w:p>
    <w:p>
      <w:pPr>
        <w:spacing w:after="0" w:line="145"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Property Development and Management - Sales revenue of $5,063,000 for the third quarter of 2001 compared with $14,435,000 in the third quarter of 2000. A small operating loss of $405,000 occurred in the third quarter of 2001, versus an operating profit of $5,472,000 in the 2000 third quarter. This decrease in revenue and operating profit was due primarily to the non-recurrence in 2001 of a major property sale on Maui in 2000. Sales in the third quarter of 2000 included the sales of a 13-acre parcel at Maui Business Park to Home Depot, two business parcels and six residential properties. This variability in sales and operating profit is an inherent characteristic of property sales activity. The third-quarter loss resulted from overhead and administrative costs in excess of income from property sales.</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Food Products revenue of $32,296,000 for the third quarter of 2001 was six-</w:t>
      </w:r>
    </w:p>
    <w:p>
      <w:pPr>
        <w:spacing w:after="0"/>
        <w:tabs>
          <w:tab w:leader="none" w:pos="1660" w:val="left"/>
        </w:tabs>
        <w:rPr>
          <w:sz w:val="20"/>
          <w:szCs w:val="20"/>
          <w:color w:val="auto"/>
        </w:rPr>
      </w:pPr>
      <w:r>
        <w:rPr>
          <w:rFonts w:ascii="Courier New" w:cs="Courier New" w:eastAsia="Courier New" w:hAnsi="Courier New"/>
          <w:sz w:val="12"/>
          <w:szCs w:val="12"/>
          <w:color w:val="auto"/>
        </w:rPr>
        <w:t>percent lower than the</w:t>
      </w:r>
      <w:r>
        <w:rPr>
          <w:sz w:val="20"/>
          <w:szCs w:val="20"/>
          <w:color w:val="auto"/>
        </w:rPr>
        <w:tab/>
      </w:r>
      <w:r>
        <w:rPr>
          <w:rFonts w:ascii="Courier New" w:cs="Courier New" w:eastAsia="Courier New" w:hAnsi="Courier New"/>
          <w:sz w:val="11"/>
          <w:szCs w:val="11"/>
          <w:color w:val="auto"/>
        </w:rPr>
        <w:t>$34,294,000 reported in the third quarter of 2000.</w:t>
      </w:r>
    </w:p>
    <w:p>
      <w:pPr>
        <w:spacing w:after="0" w:line="237" w:lineRule="auto"/>
        <w:rPr>
          <w:sz w:val="20"/>
          <w:szCs w:val="20"/>
          <w:color w:val="auto"/>
        </w:rPr>
      </w:pPr>
      <w:r>
        <w:rPr>
          <w:rFonts w:ascii="Courier New" w:cs="Courier New" w:eastAsia="Courier New" w:hAnsi="Courier New"/>
          <w:sz w:val="12"/>
          <w:szCs w:val="12"/>
          <w:color w:val="auto"/>
        </w:rPr>
        <w:t>Operating profit of $1,374,000 for the third quarter of 2001 compared with</w:t>
      </w:r>
    </w:p>
    <w:p>
      <w:pPr>
        <w:spacing w:after="0"/>
        <w:tabs>
          <w:tab w:leader="none" w:pos="2920" w:val="left"/>
        </w:tabs>
        <w:rPr>
          <w:sz w:val="20"/>
          <w:szCs w:val="20"/>
          <w:color w:val="auto"/>
        </w:rPr>
      </w:pPr>
      <w:r>
        <w:rPr>
          <w:rFonts w:ascii="Courier New" w:cs="Courier New" w:eastAsia="Courier New" w:hAnsi="Courier New"/>
          <w:sz w:val="12"/>
          <w:szCs w:val="12"/>
          <w:color w:val="auto"/>
        </w:rPr>
        <w:t>$2,901,000 in the third quarter of 2000.</w:t>
      </w:r>
      <w:r>
        <w:rPr>
          <w:sz w:val="20"/>
          <w:szCs w:val="20"/>
          <w:color w:val="auto"/>
        </w:rPr>
        <w:tab/>
      </w:r>
      <w:r>
        <w:rPr>
          <w:rFonts w:ascii="Courier New" w:cs="Courier New" w:eastAsia="Courier New" w:hAnsi="Courier New"/>
          <w:sz w:val="11"/>
          <w:szCs w:val="11"/>
          <w:color w:val="auto"/>
        </w:rPr>
        <w:t>The primary reasons for the declines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in revenue and operating profit were A&amp;B's share of losses in its investment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C&amp;H Sugar Company, Inc., losses related to the Company's startup panelboard</w:t>
      </w:r>
    </w:p>
    <w:p>
      <w:pPr>
        <w:spacing w:after="0"/>
        <w:rPr>
          <w:sz w:val="20"/>
          <w:szCs w:val="20"/>
          <w:color w:val="auto"/>
        </w:rPr>
      </w:pPr>
      <w:r>
        <w:rPr>
          <w:rFonts w:ascii="Courier New" w:cs="Courier New" w:eastAsia="Courier New" w:hAnsi="Courier New"/>
          <w:sz w:val="12"/>
          <w:szCs w:val="12"/>
          <w:color w:val="auto"/>
        </w:rPr>
        <w:t>plant and higher cane sugar production costs resulting from the continuing</w:t>
      </w:r>
    </w:p>
    <w:p>
      <w:pPr>
        <w:spacing w:after="0"/>
        <w:tabs>
          <w:tab w:leader="none" w:pos="2000" w:val="left"/>
        </w:tabs>
        <w:rPr>
          <w:sz w:val="20"/>
          <w:szCs w:val="20"/>
          <w:color w:val="auto"/>
        </w:rPr>
      </w:pPr>
      <w:r>
        <w:rPr>
          <w:rFonts w:ascii="Courier New" w:cs="Courier New" w:eastAsia="Courier New" w:hAnsi="Courier New"/>
          <w:sz w:val="12"/>
          <w:szCs w:val="12"/>
          <w:color w:val="auto"/>
        </w:rPr>
        <w:t>drought conditions on Maui.</w:t>
      </w:r>
      <w:r>
        <w:rPr>
          <w:sz w:val="20"/>
          <w:szCs w:val="20"/>
          <w:color w:val="auto"/>
        </w:rPr>
        <w:tab/>
      </w:r>
      <w:r>
        <w:rPr>
          <w:rFonts w:ascii="Courier New" w:cs="Courier New" w:eastAsia="Courier New" w:hAnsi="Courier New"/>
          <w:sz w:val="11"/>
          <w:szCs w:val="11"/>
          <w:color w:val="auto"/>
        </w:rPr>
        <w:t>Partially offsetting these factors were higher</w:t>
      </w:r>
    </w:p>
    <w:p>
      <w:pPr>
        <w:spacing w:after="0"/>
        <w:rPr>
          <w:sz w:val="20"/>
          <w:szCs w:val="20"/>
          <w:color w:val="auto"/>
        </w:rPr>
      </w:pPr>
      <w:r>
        <w:rPr>
          <w:rFonts w:ascii="Courier New" w:cs="Courier New" w:eastAsia="Courier New" w:hAnsi="Courier New"/>
          <w:sz w:val="12"/>
          <w:szCs w:val="12"/>
          <w:color w:val="auto"/>
        </w:rPr>
        <w:t>domestic raw sugar prices and lower operating costs which resulted from the</w:t>
      </w:r>
    </w:p>
    <w:p>
      <w:pPr>
        <w:spacing w:after="0"/>
        <w:tabs>
          <w:tab w:leader="none" w:pos="3340" w:val="left"/>
        </w:tabs>
        <w:rPr>
          <w:sz w:val="20"/>
          <w:szCs w:val="20"/>
          <w:color w:val="auto"/>
        </w:rPr>
      </w:pPr>
      <w:r>
        <w:rPr>
          <w:rFonts w:ascii="Courier New" w:cs="Courier New" w:eastAsia="Courier New" w:hAnsi="Courier New"/>
          <w:sz w:val="12"/>
          <w:szCs w:val="12"/>
          <w:color w:val="auto"/>
        </w:rPr>
        <w:t>2000 closure of the Company's Paia sugar mill.</w:t>
      </w:r>
      <w:r>
        <w:rPr>
          <w:sz w:val="20"/>
          <w:szCs w:val="20"/>
          <w:color w:val="auto"/>
        </w:rPr>
        <w:tab/>
      </w:r>
      <w:r>
        <w:rPr>
          <w:rFonts w:ascii="Courier New" w:cs="Courier New" w:eastAsia="Courier New" w:hAnsi="Courier New"/>
          <w:sz w:val="11"/>
          <w:szCs w:val="11"/>
          <w:color w:val="auto"/>
        </w:rPr>
        <w:t>For 2001, the Company forward</w:t>
      </w:r>
    </w:p>
    <w:p>
      <w:pPr>
        <w:spacing w:after="0"/>
        <w:tabs>
          <w:tab w:leader="none" w:pos="4820" w:val="left"/>
        </w:tabs>
        <w:rPr>
          <w:sz w:val="20"/>
          <w:szCs w:val="20"/>
          <w:color w:val="auto"/>
        </w:rPr>
      </w:pPr>
      <w:r>
        <w:rPr>
          <w:rFonts w:ascii="Courier New" w:cs="Courier New" w:eastAsia="Courier New" w:hAnsi="Courier New"/>
          <w:sz w:val="12"/>
          <w:szCs w:val="12"/>
          <w:color w:val="auto"/>
        </w:rPr>
        <w:t>priced 80 percent of its sugar production at approximately $21/cwt.</w:t>
      </w:r>
      <w:r>
        <w:rPr>
          <w:sz w:val="20"/>
          <w:szCs w:val="20"/>
          <w:color w:val="auto"/>
        </w:rPr>
        <w:tab/>
      </w:r>
      <w:r>
        <w:rPr>
          <w:rFonts w:ascii="Courier New" w:cs="Courier New" w:eastAsia="Courier New" w:hAnsi="Courier New"/>
          <w:sz w:val="11"/>
          <w:szCs w:val="11"/>
          <w:color w:val="auto"/>
        </w:rPr>
        <w:t>Drought</w:t>
      </w:r>
    </w:p>
    <w:p>
      <w:pPr>
        <w:spacing w:after="0" w:line="237" w:lineRule="auto"/>
        <w:rPr>
          <w:sz w:val="20"/>
          <w:szCs w:val="20"/>
          <w:color w:val="auto"/>
        </w:rPr>
      </w:pPr>
      <w:r>
        <w:rPr>
          <w:rFonts w:ascii="Courier New" w:cs="Courier New" w:eastAsia="Courier New" w:hAnsi="Courier New"/>
          <w:sz w:val="12"/>
          <w:szCs w:val="12"/>
          <w:color w:val="auto"/>
        </w:rPr>
        <w:t>conditions on Maui continue to affect sugar production and costs adversely.</w:t>
      </w:r>
    </w:p>
    <w:p>
      <w:pPr>
        <w:spacing w:after="0"/>
        <w:rPr>
          <w:sz w:val="20"/>
          <w:szCs w:val="20"/>
          <w:color w:val="auto"/>
        </w:rPr>
      </w:pPr>
      <w:r>
        <w:rPr>
          <w:rFonts w:ascii="Courier New" w:cs="Courier New" w:eastAsia="Courier New" w:hAnsi="Courier New"/>
          <w:sz w:val="12"/>
          <w:szCs w:val="12"/>
          <w:color w:val="auto"/>
        </w:rPr>
        <w:t>Higher California energy costs were the driving factor for the lower results</w:t>
      </w:r>
    </w:p>
    <w:p>
      <w:pPr>
        <w:spacing w:after="0"/>
        <w:tabs>
          <w:tab w:leader="none" w:pos="600" w:val="left"/>
        </w:tabs>
        <w:rPr>
          <w:sz w:val="20"/>
          <w:szCs w:val="20"/>
          <w:color w:val="auto"/>
        </w:rPr>
      </w:pPr>
      <w:r>
        <w:rPr>
          <w:rFonts w:ascii="Courier New" w:cs="Courier New" w:eastAsia="Courier New" w:hAnsi="Courier New"/>
          <w:sz w:val="12"/>
          <w:szCs w:val="12"/>
          <w:color w:val="auto"/>
        </w:rPr>
        <w:t>at C&amp;H.</w:t>
      </w:r>
      <w:r>
        <w:rPr>
          <w:sz w:val="20"/>
          <w:szCs w:val="20"/>
          <w:color w:val="auto"/>
        </w:rPr>
        <w:tab/>
      </w:r>
      <w:r>
        <w:rPr>
          <w:rFonts w:ascii="Courier New" w:cs="Courier New" w:eastAsia="Courier New" w:hAnsi="Courier New"/>
          <w:sz w:val="11"/>
          <w:szCs w:val="11"/>
          <w:color w:val="auto"/>
        </w:rPr>
        <w:t>The Company is currently evaluating marketing and operating</w:t>
      </w:r>
    </w:p>
    <w:p>
      <w:pPr>
        <w:spacing w:after="0"/>
        <w:tabs>
          <w:tab w:leader="none" w:pos="3980" w:val="left"/>
        </w:tabs>
        <w:rPr>
          <w:sz w:val="20"/>
          <w:szCs w:val="20"/>
          <w:color w:val="auto"/>
        </w:rPr>
      </w:pPr>
      <w:r>
        <w:rPr>
          <w:rFonts w:ascii="Courier New" w:cs="Courier New" w:eastAsia="Courier New" w:hAnsi="Courier New"/>
          <w:sz w:val="12"/>
          <w:szCs w:val="12"/>
          <w:color w:val="auto"/>
        </w:rPr>
        <w:t>alternatives for its panelboard manufacturing business.</w:t>
      </w:r>
      <w:r>
        <w:rPr>
          <w:sz w:val="20"/>
          <w:szCs w:val="20"/>
          <w:color w:val="auto"/>
        </w:rPr>
        <w:tab/>
      </w:r>
      <w:r>
        <w:rPr>
          <w:rFonts w:ascii="Courier New" w:cs="Courier New" w:eastAsia="Courier New" w:hAnsi="Courier New"/>
          <w:sz w:val="11"/>
          <w:szCs w:val="11"/>
          <w:color w:val="auto"/>
        </w:rPr>
        <w:t>Production has been</w:t>
      </w:r>
    </w:p>
    <w:p>
      <w:pPr>
        <w:spacing w:after="0" w:line="237" w:lineRule="auto"/>
        <w:rPr>
          <w:sz w:val="20"/>
          <w:szCs w:val="20"/>
          <w:color w:val="auto"/>
        </w:rPr>
      </w:pPr>
      <w:r>
        <w:rPr>
          <w:rFonts w:ascii="Courier New" w:cs="Courier New" w:eastAsia="Courier New" w:hAnsi="Courier New"/>
          <w:sz w:val="12"/>
          <w:szCs w:val="12"/>
          <w:color w:val="auto"/>
        </w:rPr>
        <w:t>suspended pending the results of this evaluation.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SEGMENT OPERATIONS -</w:t>
      </w:r>
    </w:p>
    <w:p>
      <w:pPr>
        <w:spacing w:after="0"/>
        <w:rPr>
          <w:sz w:val="20"/>
          <w:szCs w:val="20"/>
          <w:color w:val="auto"/>
        </w:rPr>
      </w:pPr>
      <w:r>
        <w:rPr>
          <w:rFonts w:ascii="Courier New" w:cs="Courier New" w:eastAsia="Courier New" w:hAnsi="Courier New"/>
          <w:sz w:val="12"/>
          <w:szCs w:val="12"/>
          <w:color w:val="auto"/>
        </w:rPr>
        <w:t>FIRST NINE MONTHS OF 2001 COMPARED WITH THE FIRST NINE MONTHS OF 2000</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Ocean Transportation revenue of $607,649,000 for the first nine months of 2001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was four-percent lower than the $634,568,000 reported in the first three</w:t>
      </w:r>
    </w:p>
    <w:p>
      <w:pPr>
        <w:spacing w:after="0"/>
        <w:tabs>
          <w:tab w:leader="none" w:pos="1300" w:val="left"/>
        </w:tabs>
        <w:rPr>
          <w:sz w:val="20"/>
          <w:szCs w:val="20"/>
          <w:color w:val="auto"/>
        </w:rPr>
      </w:pPr>
      <w:r>
        <w:rPr>
          <w:rFonts w:ascii="Courier New" w:cs="Courier New" w:eastAsia="Courier New" w:hAnsi="Courier New"/>
          <w:sz w:val="12"/>
          <w:szCs w:val="12"/>
          <w:color w:val="auto"/>
        </w:rPr>
        <w:t>quarters of 2000.</w:t>
      </w:r>
      <w:r>
        <w:rPr>
          <w:sz w:val="20"/>
          <w:szCs w:val="20"/>
          <w:color w:val="auto"/>
        </w:rPr>
        <w:tab/>
      </w:r>
      <w:r>
        <w:rPr>
          <w:rFonts w:ascii="Courier New" w:cs="Courier New" w:eastAsia="Courier New" w:hAnsi="Courier New"/>
          <w:sz w:val="11"/>
          <w:szCs w:val="11"/>
          <w:color w:val="auto"/>
        </w:rPr>
        <w:t>Operating profit of $60,413,000 declined 18 percent from</w:t>
      </w:r>
    </w:p>
    <w:p>
      <w:pPr>
        <w:spacing w:after="0"/>
        <w:tabs>
          <w:tab w:leader="none" w:pos="3280" w:val="left"/>
        </w:tabs>
        <w:rPr>
          <w:sz w:val="20"/>
          <w:szCs w:val="20"/>
          <w:color w:val="auto"/>
        </w:rPr>
      </w:pPr>
      <w:r>
        <w:rPr>
          <w:rFonts w:ascii="Courier New" w:cs="Courier New" w:eastAsia="Courier New" w:hAnsi="Courier New"/>
          <w:sz w:val="12"/>
          <w:szCs w:val="12"/>
          <w:color w:val="auto"/>
        </w:rPr>
        <w:t>$73,913,000 in the first nine months of 2000.</w:t>
      </w:r>
      <w:r>
        <w:rPr>
          <w:sz w:val="20"/>
          <w:szCs w:val="20"/>
          <w:color w:val="auto"/>
        </w:rPr>
        <w:tab/>
      </w:r>
      <w:r>
        <w:rPr>
          <w:rFonts w:ascii="Courier New" w:cs="Courier New" w:eastAsia="Courier New" w:hAnsi="Courier New"/>
          <w:sz w:val="11"/>
          <w:szCs w:val="11"/>
          <w:color w:val="auto"/>
        </w:rPr>
        <w:t>The lower revenue was due to the</w:t>
      </w:r>
    </w:p>
    <w:p>
      <w:pPr>
        <w:spacing w:after="0"/>
        <w:tabs>
          <w:tab w:leader="none" w:pos="3760" w:val="left"/>
        </w:tabs>
        <w:rPr>
          <w:sz w:val="20"/>
          <w:szCs w:val="20"/>
          <w:color w:val="auto"/>
        </w:rPr>
      </w:pPr>
      <w:r>
        <w:rPr>
          <w:rFonts w:ascii="Courier New" w:cs="Courier New" w:eastAsia="Courier New" w:hAnsi="Courier New"/>
          <w:sz w:val="12"/>
          <w:szCs w:val="12"/>
          <w:color w:val="auto"/>
        </w:rPr>
        <w:t>same factors cited in the third quarter comparisons.</w:t>
      </w:r>
      <w:r>
        <w:rPr>
          <w:sz w:val="20"/>
          <w:szCs w:val="20"/>
          <w:color w:val="auto"/>
        </w:rPr>
        <w:tab/>
      </w:r>
      <w:r>
        <w:rPr>
          <w:rFonts w:ascii="Courier New" w:cs="Courier New" w:eastAsia="Courier New" w:hAnsi="Courier New"/>
          <w:sz w:val="11"/>
          <w:szCs w:val="11"/>
          <w:color w:val="auto"/>
        </w:rPr>
        <w:t>The decline in operating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profit resulted primarily from slower-than-expected improvement in productivity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resulting from a terminal improvement project, and lower results from</w:t>
      </w:r>
    </w:p>
    <w:p>
      <w:pPr>
        <w:spacing w:after="0"/>
        <w:rPr>
          <w:sz w:val="20"/>
          <w:szCs w:val="20"/>
          <w:color w:val="auto"/>
        </w:rPr>
      </w:pPr>
      <w:r>
        <w:rPr>
          <w:rFonts w:ascii="Courier New" w:cs="Courier New" w:eastAsia="Courier New" w:hAnsi="Courier New"/>
          <w:sz w:val="12"/>
          <w:szCs w:val="12"/>
          <w:color w:val="auto"/>
        </w:rPr>
        <w:t>investments in a shipping operation in Puerto Rico and a stevedoring joint</w:t>
      </w:r>
    </w:p>
    <w:p>
      <w:pPr>
        <w:spacing w:after="0" w:line="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1"/>
          <w:szCs w:val="11"/>
          <w:color w:val="auto"/>
        </w:rPr>
        <w:t>venture.</w:t>
        <w:tab/>
        <w:t>These were offset, in part, by the benefits of contract carriage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 competitor, the sale of a small subsidiary and higher shipping 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Matson's Hawaii service container volume in the first nine months of 2001 was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two-percent lower than in the first nine months of 2000, and automobile volume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was three-percent lower.</w:t>
      </w:r>
    </w:p>
    <w:p>
      <w:pPr>
        <w:spacing w:after="0" w:line="139"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Property Development and Management - Leasing revenue of $52,689,000 for the first nine months of 2001 was 16-percent higher than the $45,327,000 in the first nine months of 2000. Operating profit of $26,123,000 for the first nine months of 2001 was 17-percent higher than the $22,257,000 earned in the first nine months of 2000. These increases were due primarily to additions to the property portfolio in the latter part of 2000 and in early 2001. Year-to-date 2001 occupancy levels for Mainland properties averaged 93 percent, versus 96 percent in the first nine months of 2000. Year-to-date 2001 occupancy levels for Hawaii properties improved to 90 percent, versus 85 percent in the comparable period of 2000. The fluctuations in occupancy rates were due to the same factors cited for the third quarter.</w:t>
      </w:r>
    </w:p>
    <w:p>
      <w:pPr>
        <w:spacing w:after="0" w:line="145"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Property Development and Management - Sales revenue of $77,302,000 and operating profit of $15,362,000 in the first nine months of 2001 were primarily the result of sales of an industrial lot to Wal-Mart, three commercial properties in Bainbridge, Washington, a four-acre parcel on Maui, 75 residential properties and four business parcels. Sales revenue of $42,474,000 and operating profit of $25,090,000 in the first nine months of 2000 included the sale of a ground lease under a Costco store, a 13-acre parcel at Maui Business Park to Home Depot, 14 business parcels, and 18 residential properties.</w:t>
      </w:r>
    </w:p>
    <w:p>
      <w:pPr>
        <w:spacing w:after="0" w:line="143"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Food Products revenue of $78,612,000 for the first nine months of 2001 was five-percent lower than the $82,464,000 reported for the comparable period of 2000. Operating profit for the first nine months of 2001 was $7,226,000 compared with $2,909,000 in the first nine months of 2000. The improvement in operating profit was due primarily to a one-time cash distribution from the sugar marketing and transportation cooperative that handles Hawaii sugar growers' production, higher domestic raw sugar prices and reduced costs attributable to the closure of the Paia Mill, partially offset by losses from A&amp;B's investment in C&amp;H Sugar Company, Inc. and losses related to the Company's startup panelboard manufacturing business.</w:t>
      </w:r>
    </w:p>
    <w:p>
      <w:pPr>
        <w:spacing w:after="0" w:line="144" w:lineRule="exact"/>
        <w:rPr>
          <w:sz w:val="20"/>
          <w:szCs w:val="20"/>
          <w:color w:val="auto"/>
        </w:rPr>
      </w:pPr>
    </w:p>
    <w:p>
      <w:pPr>
        <w:ind w:right="4699"/>
        <w:spacing w:after="0" w:line="273" w:lineRule="auto"/>
        <w:rPr>
          <w:sz w:val="20"/>
          <w:szCs w:val="20"/>
          <w:color w:val="auto"/>
        </w:rPr>
      </w:pPr>
      <w:r>
        <w:rPr>
          <w:rFonts w:ascii="Courier New" w:cs="Courier New" w:eastAsia="Courier New" w:hAnsi="Courier New"/>
          <w:sz w:val="11"/>
          <w:szCs w:val="11"/>
          <w:color w:val="auto"/>
        </w:rPr>
        <w:t>Other operating profit for the first nine months of 2001 included the gain from the sale of the Company's investment in Pacific Century. (See Note (e) to the</w:t>
      </w:r>
    </w:p>
    <w:p>
      <w:pPr>
        <w:sectPr>
          <w:pgSz w:w="11900" w:h="16838" w:orient="portrait"/>
          <w:cols w:equalWidth="0" w:num="1">
            <w:col w:w="10239"/>
          </w:cols>
          <w:pgMar w:left="220" w:top="27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2"/>
          <w:szCs w:val="12"/>
          <w:color w:val="auto"/>
        </w:rPr>
        <w:t>Company's condensed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OTHER MATTERS</w:t>
      </w:r>
    </w:p>
    <w:p>
      <w:pPr>
        <w:spacing w:after="0" w:line="139"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Property Sales and Trends: The mix of property sales in any year or quarter can be diverse. Sales can include developed residential real estate, commercial properties, developable subdivision lots, undeveloped land and property sold under threat of condemnation. The sale of undeveloped land and vacant parcels generally provides a greater contribution to earnings than does the sale of developed and commercial property, due to the low historical-cost basis of the Company's Hawaii land. Consequently, property sales revenue trends, cash flows from the sales of real estate and the amount of real estate held for sale on the balance sheets do not necessarily indicate future profitability trends for this segment.</w:t>
      </w:r>
    </w:p>
    <w:p>
      <w:pPr>
        <w:spacing w:after="0" w:line="144"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New Accounting Standards: Statement of Financial Accounting Standards (SFAS) No. 133, "Accounting for Derivative Instruments and Hedging Activities," as amended, was adopted by the Company in January 2001 with no impact on the financial statements. SFAS No. 140, "Accounting for Transfers and Servicing of Financial Assets and Extinguishment of Liabilities," was adopted in 2001 with no significant changes to the Company's accounting practices.</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SFAS No. 141 "Business Combinations" was issued in June 2001 and became</w:t>
      </w:r>
    </w:p>
    <w:p>
      <w:pPr>
        <w:spacing w:after="0"/>
        <w:tabs>
          <w:tab w:leader="none" w:pos="1720" w:val="left"/>
        </w:tabs>
        <w:rPr>
          <w:sz w:val="20"/>
          <w:szCs w:val="20"/>
          <w:color w:val="auto"/>
        </w:rPr>
      </w:pPr>
      <w:r>
        <w:rPr>
          <w:rFonts w:ascii="Courier New" w:cs="Courier New" w:eastAsia="Courier New" w:hAnsi="Courier New"/>
          <w:sz w:val="12"/>
          <w:szCs w:val="12"/>
          <w:color w:val="auto"/>
        </w:rPr>
        <w:t>effective in July 2001.</w:t>
      </w:r>
      <w:r>
        <w:rPr>
          <w:sz w:val="20"/>
          <w:szCs w:val="20"/>
          <w:color w:val="auto"/>
        </w:rPr>
        <w:tab/>
      </w:r>
      <w:r>
        <w:rPr>
          <w:rFonts w:ascii="Courier New" w:cs="Courier New" w:eastAsia="Courier New" w:hAnsi="Courier New"/>
          <w:sz w:val="11"/>
          <w:szCs w:val="11"/>
          <w:color w:val="auto"/>
        </w:rPr>
        <w:t>This statement requires the purchase method of</w:t>
      </w:r>
    </w:p>
    <w:p>
      <w:pPr>
        <w:spacing w:after="0"/>
        <w:tabs>
          <w:tab w:leader="none" w:pos="2720" w:val="left"/>
        </w:tabs>
        <w:rPr>
          <w:sz w:val="20"/>
          <w:szCs w:val="20"/>
          <w:color w:val="auto"/>
        </w:rPr>
      </w:pPr>
      <w:r>
        <w:rPr>
          <w:rFonts w:ascii="Courier New" w:cs="Courier New" w:eastAsia="Courier New" w:hAnsi="Courier New"/>
          <w:sz w:val="12"/>
          <w:szCs w:val="12"/>
          <w:color w:val="auto"/>
        </w:rPr>
        <w:t>accounting for business combinations.</w:t>
      </w:r>
      <w:r>
        <w:rPr>
          <w:sz w:val="20"/>
          <w:szCs w:val="20"/>
          <w:color w:val="auto"/>
        </w:rPr>
        <w:tab/>
      </w:r>
      <w:r>
        <w:rPr>
          <w:rFonts w:ascii="Courier New" w:cs="Courier New" w:eastAsia="Courier New" w:hAnsi="Courier New"/>
          <w:sz w:val="11"/>
          <w:szCs w:val="11"/>
          <w:color w:val="auto"/>
        </w:rPr>
        <w:t>This standard will affect how the</w:t>
      </w:r>
    </w:p>
    <w:p>
      <w:pPr>
        <w:spacing w:after="0"/>
        <w:rPr>
          <w:sz w:val="20"/>
          <w:szCs w:val="20"/>
          <w:color w:val="auto"/>
        </w:rPr>
      </w:pPr>
      <w:r>
        <w:rPr>
          <w:rFonts w:ascii="Courier New" w:cs="Courier New" w:eastAsia="Courier New" w:hAnsi="Courier New"/>
          <w:sz w:val="12"/>
          <w:szCs w:val="12"/>
          <w:color w:val="auto"/>
        </w:rPr>
        <w:t>Company accounts for new business combinations.</w:t>
      </w:r>
    </w:p>
    <w:p>
      <w:pPr>
        <w:spacing w:after="0" w:line="138"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SFAS No. 142 "Goodwill and Other Intangible Assets" was issued in June 2001 and is effective in January 2002. This statement addresses how intangible assets, including goodwill, should be accounted for in the financial statements. The Company currently has approximately $1 million of recorded intangibles. Consequently, the new statement will not have a material effect on the balance sheet or income statement.</w:t>
      </w:r>
    </w:p>
    <w:p>
      <w:pPr>
        <w:spacing w:after="0" w:line="140"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SFAS No. 143 "Accounting for Asset Retirement Obligations" was issued in June 2001 and becomes effective in January 2003. This statement addresses accounting and reporting for obligations and costs which will occur when long-term assets are retired. Among other things, the statement requires that the present value of the liability associated with future asset retirements be recorded on the balance sheet when an obligation has been incurred and when it can be measured. The amortization of the capitalized cost and increases in the present value of the obligation which result from the passage of time, are recorded as a charge to earnings. The possible financial impacts of this standard are not yet known, but are being assessed.</w:t>
      </w:r>
    </w:p>
    <w:p>
      <w:pPr>
        <w:spacing w:after="0" w:line="267" w:lineRule="exact"/>
        <w:rPr>
          <w:sz w:val="20"/>
          <w:szCs w:val="20"/>
          <w:color w:val="auto"/>
        </w:rPr>
      </w:pPr>
    </w:p>
    <w:p>
      <w:pPr>
        <w:ind w:right="4759"/>
        <w:spacing w:after="0" w:line="238" w:lineRule="auto"/>
        <w:rPr>
          <w:sz w:val="20"/>
          <w:szCs w:val="20"/>
          <w:color w:val="auto"/>
        </w:rPr>
      </w:pPr>
      <w:r>
        <w:rPr>
          <w:rFonts w:ascii="Courier New" w:cs="Courier New" w:eastAsia="Courier New" w:hAnsi="Courier New"/>
          <w:sz w:val="12"/>
          <w:szCs w:val="12"/>
          <w:color w:val="auto"/>
        </w:rPr>
        <w:t>SFAS No. 144 "Accounting for the Impairment or Disposal of Long-Lived Assets" was issued in August 2001 and becomes effective in January 2002. This statement replaces previous accounting standards related to asset impairments and provides guidance concerning the recognition and measurement of impairment losses for certain types of long-term assets. The statement recommends the use of probability-weighted cash flow estimations, precludes accruing future operating losses prior to asset disposal, expands the scope of "discontinued operations" to include a component of an entity, and eliminates the current exemption to consolidation when control over a subsidiary is likely to be temporary. The statement will change how the company analyzes and accounts for asset impairments and discontinued operations, but, upon adoption, will have no immediate financial impacts.</w:t>
      </w:r>
    </w:p>
    <w:p>
      <w:pPr>
        <w:spacing w:after="0" w:line="139"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Accounting Change: In January 2000, the Company changed its method of accounting for vessel drydocking costs from the accrual method to the deferral method. The cumulative effect of this accounting change increased first quarter 2000 net income by $12,250,000. (See Note (d) to the Company's condensed financial statements.)</w:t>
      </w:r>
    </w:p>
    <w:p>
      <w:pPr>
        <w:spacing w:after="0" w:line="139"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Tax-Deferred Real Estate Exchanges: During the first nine months of 2001, the Company recorded tax-deferred sales of $30,843,000. These sales plus the unreinvested balance of tax-deferred sales that occurred in 2000 enabled the Company to purchase, on a tax-deferred basis, $42,257,000 in new real estate assets. These amounts are not included in "cash flows from operating activities" and "capital expenditures," but are reported under the caption of "Other Non-cash Information" in the Condensed Statements of Cash Flows.</w:t>
      </w:r>
    </w:p>
    <w:p>
      <w:pPr>
        <w:spacing w:after="0" w:line="141"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Environmental Matters: As with most industrial and land-development companies of its size, the Company's operations have certain risks, which could result in expenditures for environmental remediation. The Company believes that it is in compliance, in all material respects, with applicable environmental laws and regulations, and works proactively to identify potential environmental concerns. Management believes that appropriate liabilities have been accrued for environmental matters.</w:t>
      </w:r>
    </w:p>
    <w:p>
      <w:pPr>
        <w:spacing w:after="0" w:line="141"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Investments: During the first half of 2001, the Company divested its holdings in Pacific Century. This was completed through the donation of 360,000 shares to the Company's charitable foundation and the sale of the remaining 749,000 shares. In May 2001, BNP Paribas SA, announced that, subject to regulatory, shareholder and other approvals, it would purchase the remaining 55 percent of BancWest Corporation ("BancWest") (NYSE:BWE) that it did not already own. The Company currently owns 3,385,788 shares of BancWest stock. This sale is expected to close during the fourth quarter. (See Note (e) to the Company's condensed financial statements).</w:t>
      </w:r>
    </w:p>
    <w:p>
      <w:pPr>
        <w:spacing w:after="0" w:line="143"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Economic Conditions: Although none of the Company's operations were directly affected by the East Coast terrorist attacks of September 11th, the events have compounded pre-existing concerns about the outlook for Hawaii's economy. They also created unprecedented uncertainty about how to assess the extent, pace and duration of the decline that is now expected. Local economists are struggling to draw inferences from the rapid economic decline and steady recovery that accompanied the Gulf War, but many of the present circumstances are significantly different. Most economists have concluded that, in the absence of better data, forecasts simply are not practical at this time.</w:t>
      </w:r>
    </w:p>
    <w:p>
      <w:pPr>
        <w:spacing w:after="0" w:line="131"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The visitor industry is Hawaii's largest single business activity. In the near-term,lower demand has prompted both international and domestic air carriers to reduce the number of flights they offer. Hotels and visitor-related businesses also acted quickly to adjust capacity. As a result, local unemployment filings have risen sharply. The Hawaii State legislature conducted a special session to consider economic incentives to help offset the decline. It is too early to determine how the measures considered at this special session will benefit Hawaii's economy.</w:t>
      </w:r>
    </w:p>
    <w:p>
      <w:pPr>
        <w:spacing w:after="0" w:line="142"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In the absence of other major external events, the Company anticipates that the significant decline in the visitor industry will persist during the 4th quarter of 2001, with improvement taking place gradually during the first half of 2002. In this scenario, the effects of the decline should be felt primarily at Matson, in the form of lower shipments of visitor-related cargo and household goods associated with now-curtailed military transfers. It is likely that effects on real estate activities would be much less and that there would be little or no effect on food products activities.</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PRIVATE SECURITIES LITIGATION REFORM ACT OF 1995</w:t>
      </w:r>
    </w:p>
    <w:p>
      <w:pPr>
        <w:sectPr>
          <w:pgSz w:w="11900" w:h="16838" w:orient="portrait"/>
          <w:cols w:equalWidth="0" w:num="1">
            <w:col w:w="10239"/>
          </w:cols>
          <w:pgMar w:left="220" w:top="137" w:right="1440" w:bottom="0" w:gutter="0" w:footer="0" w:header="0"/>
        </w:sectPr>
      </w:pPr>
    </w:p>
    <w:bookmarkStart w:id="8" w:name="page9"/>
    <w:bookmarkEnd w:id="8"/>
    <w:p>
      <w:pPr>
        <w:ind w:right="4699"/>
        <w:spacing w:after="0" w:line="260" w:lineRule="auto"/>
        <w:rPr>
          <w:sz w:val="20"/>
          <w:szCs w:val="20"/>
          <w:color w:val="auto"/>
        </w:rPr>
      </w:pPr>
      <w:r>
        <w:rPr>
          <w:rFonts w:ascii="Courier New" w:cs="Courier New" w:eastAsia="Courier New" w:hAnsi="Courier New"/>
          <w:sz w:val="11"/>
          <w:szCs w:val="11"/>
          <w:color w:val="auto"/>
        </w:rPr>
        <w:t>The Company, from time to time, may make or may have made certain forward-looking statements, whether orally or in writing, such as forecasts and projections of the Company's future performance or statements of management's plans and objectives. Such forward-looking statements may be contained in, among other things, Securities and Exchange Commission (SEC) filings, such as the Forms 10-Q, press releases made by the Company and oral statements made by the officers of the Company. Except for historical information contained in these written or oral communications, such communications contain forward-looking statements. These forward-looking statements involve a number of risks and uncertainties that could cause actual results to differ materially from those projected in the statements, including, but not limited to: (1) impact of the events of September 11, 2001; (2) economic conditions in Hawaii and elsewhere; (3) market demand; (4) competitive factors and pricing pressures in the Company's primary markets; (5) legislative and regulatory environments at the federal, state and local levels, such as government rate regulations, land-use regulations, government administration of the U.S. sugar program, and modifications to or retention of cabotage laws; (6) dependence on third-party suppliers; (7) fuel prices; (8) raw sugar prices; (9) labor relations; (10) risks associated with current or future litigation; and (11) other risk factors described elsewhere in such communications and from time to time in the Company's filings with the SEC.</w:t>
      </w:r>
    </w:p>
    <w:p>
      <w:pPr>
        <w:spacing w:after="0" w:line="200" w:lineRule="exact"/>
        <w:rPr>
          <w:sz w:val="20"/>
          <w:szCs w:val="20"/>
          <w:color w:val="auto"/>
        </w:rPr>
      </w:pP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ITEM 3.</w:t>
      </w:r>
      <w:r>
        <w:rPr>
          <w:sz w:val="20"/>
          <w:szCs w:val="20"/>
          <w:color w:val="auto"/>
        </w:rPr>
        <w:tab/>
      </w:r>
      <w:r>
        <w:rPr>
          <w:rFonts w:ascii="Courier New" w:cs="Courier New" w:eastAsia="Courier New" w:hAnsi="Courier New"/>
          <w:sz w:val="11"/>
          <w:szCs w:val="11"/>
          <w:color w:val="auto"/>
        </w:rPr>
        <w:t>QUANTITATIVE AND QUALITATIVE DISCLOSURES ABOUT MARKET RISK</w:t>
      </w:r>
    </w:p>
    <w:p>
      <w:pPr>
        <w:spacing w:after="0"/>
        <w:rPr>
          <w:sz w:val="20"/>
          <w:szCs w:val="20"/>
          <w:color w:val="auto"/>
        </w:rPr>
      </w:pPr>
      <w:r>
        <w:rPr>
          <w:rFonts w:ascii="Courier New" w:cs="Courier New" w:eastAsia="Courier New" w:hAnsi="Courier New"/>
          <w:sz w:val="12"/>
          <w:szCs w:val="12"/>
          <w:color w:val="auto"/>
        </w:rPr>
        <w:t>- -------------------------------------------------------------------</w:t>
      </w:r>
    </w:p>
    <w:p>
      <w:pPr>
        <w:spacing w:after="0" w:line="138" w:lineRule="exact"/>
        <w:rPr>
          <w:sz w:val="20"/>
          <w:szCs w:val="20"/>
          <w:color w:val="auto"/>
        </w:rPr>
      </w:pPr>
    </w:p>
    <w:p>
      <w:pPr>
        <w:ind w:right="4759"/>
        <w:spacing w:after="0" w:line="236" w:lineRule="auto"/>
        <w:rPr>
          <w:sz w:val="20"/>
          <w:szCs w:val="20"/>
          <w:color w:val="auto"/>
        </w:rPr>
      </w:pPr>
      <w:r>
        <w:rPr>
          <w:rFonts w:ascii="Courier New" w:cs="Courier New" w:eastAsia="Courier New" w:hAnsi="Courier New"/>
          <w:sz w:val="12"/>
          <w:szCs w:val="12"/>
          <w:color w:val="auto"/>
        </w:rPr>
        <w:t>Information concerning market risk is incorporated herein by reference to Item 7A of the Company's Form 10-K for the fiscal year ended December 31, 2000. There has been no material change in the quantitative and qualitative disclosure about market risk since December 31, 2000.</w:t>
      </w:r>
    </w:p>
    <w:p>
      <w:pPr>
        <w:sectPr>
          <w:pgSz w:w="11900" w:h="16838" w:orient="portrait"/>
          <w:cols w:equalWidth="0" w:num="1">
            <w:col w:w="10239"/>
          </w:cols>
          <w:pgMar w:left="220" w:top="141" w:right="1440" w:bottom="1440" w:gutter="0" w:footer="0" w:header="0"/>
        </w:sectPr>
      </w:pPr>
    </w:p>
    <w:bookmarkStart w:id="9" w:name="page10"/>
    <w:bookmarkEnd w:id="9"/>
    <w:p>
      <w:pPr>
        <w:ind w:left="1828"/>
        <w:spacing w:after="0"/>
        <w:tabs>
          <w:tab w:leader="none" w:pos="2508" w:val="left"/>
        </w:tabs>
        <w:rPr>
          <w:sz w:val="20"/>
          <w:szCs w:val="20"/>
          <w:color w:val="auto"/>
        </w:rPr>
      </w:pPr>
      <w:r>
        <w:rPr>
          <w:rFonts w:ascii="Courier New" w:cs="Courier New" w:eastAsia="Courier New" w:hAnsi="Courier New"/>
          <w:sz w:val="12"/>
          <w:szCs w:val="12"/>
          <w:color w:val="auto"/>
        </w:rPr>
        <w:t>PART II.</w:t>
      </w:r>
      <w:r>
        <w:rPr>
          <w:sz w:val="20"/>
          <w:szCs w:val="20"/>
          <w:color w:val="auto"/>
        </w:rPr>
        <w:tab/>
      </w:r>
      <w:r>
        <w:rPr>
          <w:rFonts w:ascii="Courier New" w:cs="Courier New" w:eastAsia="Courier New" w:hAnsi="Courier New"/>
          <w:sz w:val="11"/>
          <w:szCs w:val="11"/>
          <w:color w:val="auto"/>
        </w:rPr>
        <w:t>OTHER INFORMATION</w:t>
      </w:r>
    </w:p>
    <w:p>
      <w:pPr>
        <w:spacing w:after="0" w:line="269"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ITEM 6.</w:t>
      </w:r>
      <w:r>
        <w:rPr>
          <w:sz w:val="20"/>
          <w:szCs w:val="20"/>
          <w:color w:val="auto"/>
        </w:rPr>
        <w:tab/>
      </w:r>
      <w:r>
        <w:rPr>
          <w:rFonts w:ascii="Courier New" w:cs="Courier New" w:eastAsia="Courier New" w:hAnsi="Courier New"/>
          <w:sz w:val="11"/>
          <w:szCs w:val="11"/>
          <w:color w:val="auto"/>
        </w:rPr>
        <w:t>EXHIBITS AND REPORTS ON FORM 8-K</w:t>
      </w:r>
    </w:p>
    <w:p>
      <w:pPr>
        <w:ind w:left="148" w:hanging="148"/>
        <w:spacing w:after="0"/>
        <w:tabs>
          <w:tab w:leader="none" w:pos="14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3" w:lineRule="exact"/>
        <w:rPr>
          <w:rFonts w:ascii="Courier New" w:cs="Courier New" w:eastAsia="Courier New" w:hAnsi="Courier New"/>
          <w:sz w:val="12"/>
          <w:szCs w:val="12"/>
          <w:color w:val="auto"/>
        </w:rPr>
      </w:pPr>
    </w:p>
    <w:p>
      <w:pPr>
        <w:ind w:left="708" w:hanging="357"/>
        <w:spacing w:after="0"/>
        <w:tabs>
          <w:tab w:leader="none" w:pos="70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Exhibits</w:t>
      </w:r>
    </w:p>
    <w:p>
      <w:pPr>
        <w:spacing w:after="0" w:line="138" w:lineRule="exact"/>
        <w:rPr>
          <w:rFonts w:ascii="Courier New" w:cs="Courier New" w:eastAsia="Courier New" w:hAnsi="Courier New"/>
          <w:sz w:val="12"/>
          <w:szCs w:val="12"/>
          <w:color w:val="auto"/>
        </w:rPr>
      </w:pPr>
    </w:p>
    <w:p>
      <w:pPr>
        <w:ind w:left="708"/>
        <w:spacing w:after="0"/>
        <w:rPr>
          <w:rFonts w:ascii="Courier New" w:cs="Courier New" w:eastAsia="Courier New" w:hAnsi="Courier New"/>
          <w:sz w:val="12"/>
          <w:szCs w:val="12"/>
          <w:color w:val="auto"/>
        </w:rPr>
      </w:pPr>
      <w:r>
        <w:rPr>
          <w:rFonts w:ascii="Courier New" w:cs="Courier New" w:eastAsia="Courier New" w:hAnsi="Courier New"/>
          <w:sz w:val="11"/>
          <w:szCs w:val="11"/>
          <w:color w:val="auto"/>
        </w:rPr>
        <w:t>11.  Statement re Computation of Per Share Earnings.</w:t>
      </w:r>
    </w:p>
    <w:p>
      <w:pPr>
        <w:spacing w:after="0" w:line="141" w:lineRule="exact"/>
        <w:rPr>
          <w:rFonts w:ascii="Courier New" w:cs="Courier New" w:eastAsia="Courier New" w:hAnsi="Courier New"/>
          <w:sz w:val="12"/>
          <w:szCs w:val="12"/>
          <w:color w:val="auto"/>
        </w:rPr>
      </w:pPr>
    </w:p>
    <w:p>
      <w:pPr>
        <w:ind w:left="708" w:hanging="357"/>
        <w:spacing w:after="0"/>
        <w:tabs>
          <w:tab w:leader="none" w:pos="70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Reports on Form 8-K</w:t>
      </w:r>
    </w:p>
    <w:p>
      <w:pPr>
        <w:spacing w:after="0" w:line="138" w:lineRule="exact"/>
        <w:rPr>
          <w:rFonts w:ascii="Courier New" w:cs="Courier New" w:eastAsia="Courier New" w:hAnsi="Courier New"/>
          <w:sz w:val="12"/>
          <w:szCs w:val="12"/>
          <w:color w:val="auto"/>
        </w:rPr>
      </w:pPr>
    </w:p>
    <w:p>
      <w:pPr>
        <w:ind w:left="708"/>
        <w:spacing w:after="0"/>
        <w:rPr>
          <w:rFonts w:ascii="Courier New" w:cs="Courier New" w:eastAsia="Courier New" w:hAnsi="Courier New"/>
          <w:sz w:val="12"/>
          <w:szCs w:val="12"/>
          <w:color w:val="auto"/>
        </w:rPr>
      </w:pPr>
      <w:r>
        <w:rPr>
          <w:rFonts w:ascii="Courier New" w:cs="Courier New" w:eastAsia="Courier New" w:hAnsi="Courier New"/>
          <w:sz w:val="11"/>
          <w:szCs w:val="11"/>
          <w:color w:val="auto"/>
        </w:rPr>
        <w:t>No reports on Form 8-K were filed during the quarter.</w:t>
      </w:r>
    </w:p>
    <w:p>
      <w:pPr>
        <w:sectPr>
          <w:pgSz w:w="11900" w:h="16838" w:orient="portrait"/>
          <w:cols w:equalWidth="0" w:num="1">
            <w:col w:w="10247"/>
          </w:cols>
          <w:pgMar w:left="212" w:top="659" w:right="1440" w:bottom="1440" w:gutter="0" w:footer="0" w:header="0"/>
        </w:sectPr>
      </w:pPr>
    </w:p>
    <w:bookmarkStart w:id="10" w:name="page11"/>
    <w:bookmarkEnd w:id="10"/>
    <w:p>
      <w:pPr>
        <w:ind w:left="2468"/>
        <w:spacing w:after="0"/>
        <w:rPr>
          <w:sz w:val="20"/>
          <w:szCs w:val="20"/>
          <w:color w:val="auto"/>
        </w:rPr>
      </w:pPr>
      <w:r>
        <w:rPr>
          <w:rFonts w:ascii="Courier New" w:cs="Courier New" w:eastAsia="Courier New" w:hAnsi="Courier New"/>
          <w:sz w:val="12"/>
          <w:szCs w:val="12"/>
          <w:color w:val="auto"/>
        </w:rPr>
        <w:t>SIGNATURES</w:t>
      </w:r>
    </w:p>
    <w:p>
      <w:pPr>
        <w:ind w:left="428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8" w:right="4759" w:firstLine="422"/>
        <w:spacing w:after="0" w:line="236" w:lineRule="auto"/>
        <w:rPr>
          <w:sz w:val="20"/>
          <w:szCs w:val="20"/>
          <w:color w:val="auto"/>
        </w:rPr>
      </w:pPr>
      <w:r>
        <w:rPr>
          <w:rFonts w:ascii="Courier New" w:cs="Courier New" w:eastAsia="Courier New" w:hAnsi="Courier New"/>
          <w:sz w:val="12"/>
          <w:szCs w:val="12"/>
          <w:color w:val="auto"/>
        </w:rPr>
        <w:t>Pursuant to the requirements of the Securities Exchange Act of l934,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jc w:val="center"/>
        <w:ind w:right="2431"/>
        <w:spacing w:after="0"/>
        <w:rPr>
          <w:sz w:val="20"/>
          <w:szCs w:val="20"/>
          <w:color w:val="auto"/>
        </w:rPr>
      </w:pPr>
      <w:r>
        <w:rPr>
          <w:rFonts w:ascii="Courier New" w:cs="Courier New" w:eastAsia="Courier New" w:hAnsi="Courier New"/>
          <w:sz w:val="12"/>
          <w:szCs w:val="12"/>
          <w:color w:val="auto"/>
        </w:rPr>
        <w:t>ALEXANDER &amp; BALDWIN, INC.</w:t>
      </w:r>
    </w:p>
    <w:p>
      <w:pPr>
        <w:jc w:val="center"/>
        <w:ind w:right="2431"/>
        <w:spacing w:after="0"/>
        <w:rPr>
          <w:sz w:val="20"/>
          <w:szCs w:val="20"/>
          <w:color w:val="auto"/>
        </w:rPr>
      </w:pPr>
      <w:r>
        <w:rPr>
          <w:rFonts w:ascii="Courier New" w:cs="Courier New" w:eastAsia="Courier New" w:hAnsi="Courier New"/>
          <w:sz w:val="12"/>
          <w:szCs w:val="12"/>
          <w:color w:val="auto"/>
        </w:rPr>
        <w:t>-------------------------------</w:t>
      </w:r>
    </w:p>
    <w:p>
      <w:pPr>
        <w:jc w:val="center"/>
        <w:ind w:right="2511"/>
        <w:spacing w:after="0" w:line="237" w:lineRule="auto"/>
        <w:rPr>
          <w:sz w:val="20"/>
          <w:szCs w:val="20"/>
          <w:color w:val="auto"/>
        </w:rPr>
      </w:pPr>
      <w:r>
        <w:rPr>
          <w:rFonts w:ascii="Courier New" w:cs="Courier New" w:eastAsia="Courier New" w:hAnsi="Courier New"/>
          <w:sz w:val="12"/>
          <w:szCs w:val="12"/>
          <w:color w:val="auto"/>
        </w:rPr>
        <w:t>(Registrant)</w:t>
      </w:r>
    </w:p>
    <w:p>
      <w:pPr>
        <w:sectPr>
          <w:pgSz w:w="11900" w:h="16838" w:orient="portrait"/>
          <w:cols w:equalWidth="0" w:num="1">
            <w:col w:w="10247"/>
          </w:cols>
          <w:pgMar w:left="212" w:top="524" w:right="1440" w:bottom="1440" w:gutter="0" w:footer="0" w:header="0"/>
        </w:sectPr>
      </w:pP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November 13, 2001</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 James S. Andrasick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James S. Andrasick</w:t>
      </w:r>
    </w:p>
    <w:p>
      <w:pPr>
        <w:ind w:left="220"/>
        <w:spacing w:after="0"/>
        <w:rPr>
          <w:sz w:val="20"/>
          <w:szCs w:val="20"/>
          <w:color w:val="auto"/>
        </w:rPr>
      </w:pPr>
      <w:r>
        <w:rPr>
          <w:rFonts w:ascii="Courier New" w:cs="Courier New" w:eastAsia="Courier New" w:hAnsi="Courier New"/>
          <w:sz w:val="12"/>
          <w:szCs w:val="12"/>
          <w:color w:val="auto"/>
        </w:rPr>
        <w:t>Sr. Vice President, Chief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Financial Officer and Treasurer</w:t>
      </w:r>
    </w:p>
    <w:p>
      <w:pPr>
        <w:spacing w:after="0" w:line="200" w:lineRule="exact"/>
        <w:rPr>
          <w:sz w:val="20"/>
          <w:szCs w:val="20"/>
          <w:color w:val="auto"/>
        </w:rPr>
      </w:pPr>
    </w:p>
    <w:p>
      <w:pPr>
        <w:sectPr>
          <w:pgSz w:w="11900" w:h="16838" w:orient="portrait"/>
          <w:cols w:equalWidth="0" w:num="3">
            <w:col w:w="348" w:space="140"/>
            <w:col w:w="1600" w:space="720"/>
            <w:col w:w="7439"/>
          </w:cols>
          <w:pgMar w:left="212" w:top="524" w:right="1440" w:bottom="1440" w:gutter="0" w:footer="0" w:header="0"/>
          <w:type w:val="continuous"/>
        </w:sectPr>
      </w:pPr>
    </w:p>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November 13, 2001</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/s/ Thomas A. Wellman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Thomas A. Wellman</w:t>
      </w:r>
    </w:p>
    <w:p>
      <w:pPr>
        <w:ind w:left="560"/>
        <w:spacing w:after="0"/>
        <w:rPr>
          <w:sz w:val="20"/>
          <w:szCs w:val="20"/>
          <w:color w:val="auto"/>
        </w:rPr>
      </w:pPr>
      <w:r>
        <w:rPr>
          <w:rFonts w:ascii="Courier New" w:cs="Courier New" w:eastAsia="Courier New" w:hAnsi="Courier New"/>
          <w:sz w:val="12"/>
          <w:szCs w:val="12"/>
          <w:color w:val="auto"/>
        </w:rPr>
        <w:t>Controller</w:t>
      </w:r>
    </w:p>
    <w:p>
      <w:pPr>
        <w:spacing w:after="0" w:line="200" w:lineRule="exact"/>
        <w:rPr>
          <w:sz w:val="20"/>
          <w:szCs w:val="20"/>
          <w:color w:val="auto"/>
        </w:rPr>
      </w:pPr>
    </w:p>
    <w:p>
      <w:pPr>
        <w:sectPr>
          <w:pgSz w:w="11900" w:h="16838" w:orient="portrait"/>
          <w:cols w:equalWidth="0" w:num="3">
            <w:col w:w="348" w:space="140"/>
            <w:col w:w="1820" w:space="720"/>
            <w:col w:w="7219"/>
          </w:cols>
          <w:pgMar w:left="212" w:top="524" w:right="1440" w:bottom="1440" w:gutter="0" w:footer="0" w:header="0"/>
          <w:type w:val="continuous"/>
        </w:sectPr>
      </w:pPr>
    </w:p>
    <w:p>
      <w:pPr>
        <w:spacing w:after="0" w:line="73" w:lineRule="exact"/>
        <w:rPr>
          <w:sz w:val="20"/>
          <w:szCs w:val="20"/>
          <w:color w:val="auto"/>
        </w:rPr>
      </w:pPr>
    </w:p>
    <w:p>
      <w:pPr>
        <w:ind w:left="2328"/>
        <w:spacing w:after="0"/>
        <w:rPr>
          <w:sz w:val="20"/>
          <w:szCs w:val="20"/>
          <w:color w:val="auto"/>
        </w:rPr>
      </w:pPr>
      <w:r>
        <w:rPr>
          <w:rFonts w:ascii="Courier New" w:cs="Courier New" w:eastAsia="Courier New" w:hAnsi="Courier New"/>
          <w:sz w:val="11"/>
          <w:szCs w:val="11"/>
          <w:color w:val="auto"/>
        </w:rPr>
        <w:t>EXHIBIT INDEX</w:t>
      </w:r>
    </w:p>
    <w:p>
      <w:pPr>
        <w:spacing w:after="0" w:line="10" w:lineRule="exact"/>
        <w:rPr>
          <w:sz w:val="20"/>
          <w:szCs w:val="20"/>
          <w:color w:val="auto"/>
        </w:rPr>
      </w:pPr>
    </w:p>
    <w:p>
      <w:pPr>
        <w:ind w:left="2328"/>
        <w:spacing w:after="0"/>
        <w:rPr>
          <w:sz w:val="20"/>
          <w:szCs w:val="20"/>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524" w:right="1440" w:bottom="1440" w:gutter="0" w:footer="0" w:header="0"/>
          <w:type w:val="continuous"/>
        </w:sectPr>
      </w:pPr>
    </w:p>
    <w:p>
      <w:pPr>
        <w:spacing w:after="0" w:line="281" w:lineRule="exact"/>
        <w:rPr>
          <w:sz w:val="20"/>
          <w:szCs w:val="20"/>
          <w:color w:val="auto"/>
        </w:rPr>
      </w:pPr>
    </w:p>
    <w:p>
      <w:pPr>
        <w:ind w:left="348" w:hanging="348"/>
        <w:spacing w:after="0"/>
        <w:tabs>
          <w:tab w:leader="none" w:pos="34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Statement re Computation of Per Share Earnings.</w:t>
      </w:r>
    </w:p>
    <w:p>
      <w:pPr>
        <w:sectPr>
          <w:pgSz w:w="11900" w:h="16838" w:orient="portrait"/>
          <w:cols w:equalWidth="0" w:num="1">
            <w:col w:w="10247"/>
          </w:cols>
          <w:pgMar w:left="212" w:top="524" w:right="1440" w:bottom="1440" w:gutter="0" w:footer="0" w:header="0"/>
          <w:type w:val="continuous"/>
        </w:sectPr>
      </w:pPr>
    </w:p>
    <w:bookmarkStart w:id="11" w:name="page12"/>
    <w:bookmarkEnd w:id="11"/>
    <w:p>
      <w:pPr>
        <w:spacing w:after="0"/>
        <w:tabs>
          <w:tab w:leader="none" w:pos="348" w:val="left"/>
        </w:tabs>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6100"/>
        <w:spacing w:after="0"/>
        <w:rPr>
          <w:sz w:val="20"/>
          <w:szCs w:val="20"/>
          <w:color w:val="auto"/>
        </w:rPr>
      </w:pPr>
      <w:r>
        <w:rPr>
          <w:rFonts w:ascii="Courier New" w:cs="Courier New" w:eastAsia="Courier New" w:hAnsi="Courier New"/>
          <w:sz w:val="12"/>
          <w:szCs w:val="12"/>
          <w:color w:val="auto"/>
        </w:rPr>
        <w:t>EXHIBIT 11</w:t>
      </w:r>
    </w:p>
    <w:p>
      <w:pPr>
        <w:jc w:val="center"/>
        <w:ind w:right="4699"/>
        <w:spacing w:after="0"/>
        <w:rPr>
          <w:sz w:val="20"/>
          <w:szCs w:val="20"/>
          <w:color w:val="auto"/>
        </w:rPr>
      </w:pPr>
      <w:r>
        <w:rPr>
          <w:rFonts w:ascii="Courier New" w:cs="Courier New" w:eastAsia="Courier New" w:hAnsi="Courier New"/>
          <w:sz w:val="12"/>
          <w:szCs w:val="12"/>
          <w:color w:val="auto"/>
        </w:rPr>
        <w:t>ALEXANDER &amp; BALDWIN, INC.</w:t>
      </w:r>
    </w:p>
    <w:p>
      <w:pPr>
        <w:ind w:left="1600"/>
        <w:spacing w:after="0" w:line="237" w:lineRule="auto"/>
        <w:rPr>
          <w:sz w:val="20"/>
          <w:szCs w:val="20"/>
          <w:color w:val="auto"/>
        </w:rPr>
      </w:pPr>
      <w:r>
        <w:rPr>
          <w:rFonts w:ascii="Courier New" w:cs="Courier New" w:eastAsia="Courier New" w:hAnsi="Courier New"/>
          <w:sz w:val="12"/>
          <w:szCs w:val="12"/>
          <w:color w:val="auto"/>
        </w:rPr>
        <w:t>COMPUTATION OF EARNINGS PER SHARE</w:t>
      </w:r>
    </w:p>
    <w:p>
      <w:pPr>
        <w:ind w:left="1320"/>
        <w:spacing w:after="0"/>
        <w:rPr>
          <w:sz w:val="20"/>
          <w:szCs w:val="20"/>
          <w:color w:val="auto"/>
        </w:rPr>
      </w:pPr>
      <w:r>
        <w:rPr>
          <w:rFonts w:ascii="Courier New" w:cs="Courier New" w:eastAsia="Courier New" w:hAnsi="Courier New"/>
          <w:sz w:val="12"/>
          <w:szCs w:val="12"/>
          <w:color w:val="auto"/>
        </w:rPr>
        <w:t>(In thousands, except per share amounts)</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w w:val="95"/>
              </w:rPr>
              <w:t>Three Months Ended</w:t>
            </w:r>
          </w:p>
        </w:tc>
        <w:tc>
          <w:tcPr>
            <w:tcW w:w="320" w:type="dxa"/>
            <w:vAlign w:val="bottom"/>
          </w:tcPr>
          <w:p>
            <w:pPr>
              <w:spacing w:after="0"/>
              <w:rPr>
                <w:sz w:val="11"/>
                <w:szCs w:val="11"/>
                <w:color w:val="auto"/>
              </w:rPr>
            </w:pPr>
          </w:p>
        </w:tc>
        <w:tc>
          <w:tcPr>
            <w:tcW w:w="144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Nine Months Ended</w:t>
            </w:r>
          </w:p>
        </w:tc>
      </w:tr>
      <w:tr>
        <w:trPr>
          <w:trHeight w:val="135"/>
        </w:trPr>
        <w:tc>
          <w:tcPr>
            <w:tcW w:w="3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20" w:type="dxa"/>
            <w:vAlign w:val="bottom"/>
            <w:gridSpan w:val="3"/>
          </w:tcPr>
          <w:p>
            <w:pPr>
              <w:jc w:val="right"/>
              <w:ind w:right="501"/>
              <w:spacing w:after="0"/>
              <w:rPr>
                <w:sz w:val="20"/>
                <w:szCs w:val="20"/>
                <w:color w:val="auto"/>
              </w:rPr>
            </w:pPr>
            <w:r>
              <w:rPr>
                <w:rFonts w:ascii="Courier New" w:cs="Courier New" w:eastAsia="Courier New" w:hAnsi="Courier New"/>
                <w:sz w:val="12"/>
                <w:szCs w:val="12"/>
                <w:color w:val="auto"/>
              </w:rPr>
              <w:t>September 30,</w:t>
            </w:r>
          </w:p>
        </w:tc>
        <w:tc>
          <w:tcPr>
            <w:tcW w:w="320" w:type="dxa"/>
            <w:vAlign w:val="bottom"/>
          </w:tcPr>
          <w:p>
            <w:pPr>
              <w:spacing w:after="0"/>
              <w:rPr>
                <w:sz w:val="11"/>
                <w:szCs w:val="11"/>
                <w:color w:val="auto"/>
              </w:rPr>
            </w:pPr>
          </w:p>
        </w:tc>
        <w:tc>
          <w:tcPr>
            <w:tcW w:w="144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September 30,</w:t>
            </w:r>
          </w:p>
        </w:tc>
      </w:tr>
      <w:tr>
        <w:trPr>
          <w:trHeight w:val="270"/>
        </w:trPr>
        <w:tc>
          <w:tcPr>
            <w:tcW w:w="3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0"/>
              </w:rPr>
              <w:t>2001</w:t>
            </w:r>
          </w:p>
        </w:tc>
        <w:tc>
          <w:tcPr>
            <w:tcW w:w="320" w:type="dxa"/>
            <w:vAlign w:val="bottom"/>
          </w:tcPr>
          <w:p>
            <w:pPr>
              <w:spacing w:after="0"/>
              <w:rPr>
                <w:sz w:val="23"/>
                <w:szCs w:val="23"/>
                <w:color w:val="auto"/>
              </w:rPr>
            </w:pPr>
          </w:p>
        </w:tc>
        <w:tc>
          <w:tcPr>
            <w:tcW w:w="66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7"/>
              </w:rPr>
              <w:t>2000</w:t>
            </w:r>
          </w:p>
        </w:tc>
        <w:tc>
          <w:tcPr>
            <w:tcW w:w="320" w:type="dxa"/>
            <w:vAlign w:val="bottom"/>
          </w:tcPr>
          <w:p>
            <w:pPr>
              <w:spacing w:after="0"/>
              <w:rPr>
                <w:sz w:val="23"/>
                <w:szCs w:val="23"/>
                <w:color w:val="auto"/>
              </w:rPr>
            </w:pPr>
          </w:p>
        </w:tc>
        <w:tc>
          <w:tcPr>
            <w:tcW w:w="6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2001</w:t>
            </w:r>
          </w:p>
        </w:tc>
        <w:tc>
          <w:tcPr>
            <w:tcW w:w="320" w:type="dxa"/>
            <w:vAlign w:val="bottom"/>
          </w:tcPr>
          <w:p>
            <w:pPr>
              <w:spacing w:after="0"/>
              <w:rPr>
                <w:sz w:val="23"/>
                <w:szCs w:val="23"/>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2000</w:t>
            </w:r>
          </w:p>
        </w:tc>
      </w:tr>
      <w:tr>
        <w:trPr>
          <w:trHeight w:val="135"/>
        </w:trPr>
        <w:tc>
          <w:tcPr>
            <w:tcW w:w="3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0"/>
              </w:rPr>
              <w:t>----</w:t>
            </w:r>
          </w:p>
        </w:tc>
        <w:tc>
          <w:tcPr>
            <w:tcW w:w="320" w:type="dxa"/>
            <w:vAlign w:val="bottom"/>
          </w:tcPr>
          <w:p>
            <w:pPr>
              <w:spacing w:after="0"/>
              <w:rPr>
                <w:sz w:val="11"/>
                <w:szCs w:val="11"/>
                <w:color w:val="auto"/>
              </w:rPr>
            </w:pPr>
          </w:p>
        </w:tc>
        <w:tc>
          <w:tcPr>
            <w:tcW w:w="66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7"/>
              </w:rPr>
              <w:t>----</w:t>
            </w:r>
          </w:p>
        </w:tc>
        <w:tc>
          <w:tcPr>
            <w:tcW w:w="320" w:type="dxa"/>
            <w:vAlign w:val="bottom"/>
          </w:tcPr>
          <w:p>
            <w:pPr>
              <w:spacing w:after="0"/>
              <w:rPr>
                <w:sz w:val="11"/>
                <w:szCs w:val="11"/>
                <w:color w:val="auto"/>
              </w:rPr>
            </w:pPr>
          </w:p>
        </w:tc>
        <w:tc>
          <w:tcPr>
            <w:tcW w:w="6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3080" w:type="dxa"/>
            <w:vAlign w:val="bottom"/>
          </w:tcPr>
          <w:p>
            <w:pPr>
              <w:spacing w:after="0"/>
              <w:rPr>
                <w:sz w:val="20"/>
                <w:szCs w:val="20"/>
                <w:color w:val="auto"/>
              </w:rPr>
            </w:pPr>
            <w:r>
              <w:rPr>
                <w:rFonts w:ascii="Courier New" w:cs="Courier New" w:eastAsia="Courier New" w:hAnsi="Courier New"/>
                <w:sz w:val="12"/>
                <w:szCs w:val="12"/>
                <w:color w:val="auto"/>
              </w:rPr>
              <w:t>Basic Earnings Per Share</w:t>
            </w: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Net income</w:t>
            </w: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$ 17,312</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$ 21,354</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$ 64,260</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$ 76,028</w:t>
            </w:r>
          </w:p>
        </w:tc>
      </w:tr>
      <w:tr>
        <w:trPr>
          <w:trHeight w:val="135"/>
        </w:trPr>
        <w:tc>
          <w:tcPr>
            <w:tcW w:w="30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Average number of shares outstanding</w:t>
            </w:r>
          </w:p>
        </w:tc>
        <w:tc>
          <w:tcPr>
            <w:tcW w:w="420" w:type="dxa"/>
            <w:vAlign w:val="bottom"/>
          </w:tcPr>
          <w:p>
            <w:pPr>
              <w:spacing w:after="0"/>
              <w:rPr>
                <w:sz w:val="23"/>
                <w:szCs w:val="23"/>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40,567</w:t>
            </w:r>
          </w:p>
        </w:tc>
        <w:tc>
          <w:tcPr>
            <w:tcW w:w="320" w:type="dxa"/>
            <w:vAlign w:val="bottom"/>
          </w:tcPr>
          <w:p>
            <w:pPr>
              <w:spacing w:after="0"/>
              <w:rPr>
                <w:sz w:val="23"/>
                <w:szCs w:val="23"/>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7"/>
              </w:rPr>
              <w:t>40,439</w:t>
            </w:r>
          </w:p>
        </w:tc>
        <w:tc>
          <w:tcPr>
            <w:tcW w:w="320" w:type="dxa"/>
            <w:vAlign w:val="bottom"/>
          </w:tcPr>
          <w:p>
            <w:pPr>
              <w:spacing w:after="0"/>
              <w:rPr>
                <w:sz w:val="23"/>
                <w:szCs w:val="23"/>
                <w:color w:val="auto"/>
              </w:rPr>
            </w:pPr>
          </w:p>
        </w:tc>
        <w:tc>
          <w:tcPr>
            <w:tcW w:w="6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40,548</w:t>
            </w:r>
          </w:p>
        </w:tc>
        <w:tc>
          <w:tcPr>
            <w:tcW w:w="3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41,095</w:t>
            </w:r>
          </w:p>
        </w:tc>
      </w:tr>
      <w:tr>
        <w:trPr>
          <w:trHeight w:val="135"/>
        </w:trPr>
        <w:tc>
          <w:tcPr>
            <w:tcW w:w="30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Basic earnings per share</w:t>
            </w: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0.42</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0.53</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1.58</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1.85</w:t>
            </w:r>
          </w:p>
        </w:tc>
      </w:tr>
      <w:tr>
        <w:trPr>
          <w:trHeight w:val="135"/>
        </w:trPr>
        <w:tc>
          <w:tcPr>
            <w:tcW w:w="30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080" w:type="dxa"/>
            <w:vAlign w:val="bottom"/>
          </w:tcPr>
          <w:p>
            <w:pPr>
              <w:spacing w:after="0"/>
              <w:rPr>
                <w:sz w:val="20"/>
                <w:szCs w:val="20"/>
                <w:color w:val="auto"/>
              </w:rPr>
            </w:pPr>
            <w:r>
              <w:rPr>
                <w:rFonts w:ascii="Courier New" w:cs="Courier New" w:eastAsia="Courier New" w:hAnsi="Courier New"/>
                <w:sz w:val="12"/>
                <w:szCs w:val="12"/>
                <w:color w:val="auto"/>
              </w:rPr>
              <w:t>Diluted Earnings Per Share</w:t>
            </w: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70"/>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Net income</w:t>
            </w: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$ 17,312</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$ 21,354</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$ 64,260</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$ 76,028</w:t>
            </w:r>
          </w:p>
        </w:tc>
      </w:tr>
      <w:tr>
        <w:trPr>
          <w:trHeight w:val="135"/>
        </w:trPr>
        <w:tc>
          <w:tcPr>
            <w:tcW w:w="30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Average number of shares outstanding</w:t>
            </w:r>
          </w:p>
        </w:tc>
        <w:tc>
          <w:tcPr>
            <w:tcW w:w="420" w:type="dxa"/>
            <w:vAlign w:val="bottom"/>
          </w:tcPr>
          <w:p>
            <w:pPr>
              <w:spacing w:after="0"/>
              <w:rPr>
                <w:sz w:val="23"/>
                <w:szCs w:val="23"/>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40,567</w:t>
            </w:r>
          </w:p>
        </w:tc>
        <w:tc>
          <w:tcPr>
            <w:tcW w:w="320" w:type="dxa"/>
            <w:vAlign w:val="bottom"/>
          </w:tcPr>
          <w:p>
            <w:pPr>
              <w:spacing w:after="0"/>
              <w:rPr>
                <w:sz w:val="23"/>
                <w:szCs w:val="23"/>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7"/>
              </w:rPr>
              <w:t>40,439</w:t>
            </w:r>
          </w:p>
        </w:tc>
        <w:tc>
          <w:tcPr>
            <w:tcW w:w="320" w:type="dxa"/>
            <w:vAlign w:val="bottom"/>
          </w:tcPr>
          <w:p>
            <w:pPr>
              <w:spacing w:after="0"/>
              <w:rPr>
                <w:sz w:val="23"/>
                <w:szCs w:val="23"/>
                <w:color w:val="auto"/>
              </w:rPr>
            </w:pPr>
          </w:p>
        </w:tc>
        <w:tc>
          <w:tcPr>
            <w:tcW w:w="6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40,548</w:t>
            </w:r>
          </w:p>
        </w:tc>
        <w:tc>
          <w:tcPr>
            <w:tcW w:w="3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41,095</w:t>
            </w:r>
          </w:p>
        </w:tc>
      </w:tr>
      <w:tr>
        <w:trPr>
          <w:trHeight w:val="270"/>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Effect of assumed exercise of</w:t>
            </w: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3080" w:type="dxa"/>
            <w:vAlign w:val="bottom"/>
          </w:tcPr>
          <w:p>
            <w:pPr>
              <w:ind w:left="420"/>
              <w:spacing w:after="0"/>
              <w:rPr>
                <w:sz w:val="20"/>
                <w:szCs w:val="20"/>
                <w:color w:val="auto"/>
              </w:rPr>
            </w:pPr>
            <w:r>
              <w:rPr>
                <w:rFonts w:ascii="Courier New" w:cs="Courier New" w:eastAsia="Courier New" w:hAnsi="Courier New"/>
                <w:sz w:val="12"/>
                <w:szCs w:val="12"/>
                <w:color w:val="auto"/>
              </w:rPr>
              <w:t>outstanding stock options</w:t>
            </w:r>
          </w:p>
        </w:tc>
        <w:tc>
          <w:tcPr>
            <w:tcW w:w="42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208</w:t>
            </w:r>
          </w:p>
        </w:tc>
        <w:tc>
          <w:tcPr>
            <w:tcW w:w="32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262</w:t>
            </w:r>
          </w:p>
        </w:tc>
        <w:tc>
          <w:tcPr>
            <w:tcW w:w="320" w:type="dxa"/>
            <w:vAlign w:val="bottom"/>
          </w:tcPr>
          <w:p>
            <w:pPr>
              <w:spacing w:after="0"/>
              <w:rPr>
                <w:sz w:val="11"/>
                <w:szCs w:val="11"/>
                <w:color w:val="auto"/>
              </w:rPr>
            </w:pPr>
          </w:p>
        </w:tc>
        <w:tc>
          <w:tcPr>
            <w:tcW w:w="6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198</w:t>
            </w:r>
          </w:p>
        </w:tc>
        <w:tc>
          <w:tcPr>
            <w:tcW w:w="3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70</w:t>
            </w:r>
          </w:p>
        </w:tc>
      </w:tr>
      <w:tr>
        <w:trPr>
          <w:trHeight w:val="135"/>
        </w:trPr>
        <w:tc>
          <w:tcPr>
            <w:tcW w:w="30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Average number of shares outstanding</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3080" w:type="dxa"/>
            <w:vAlign w:val="bottom"/>
          </w:tcPr>
          <w:p>
            <w:pPr>
              <w:ind w:left="420"/>
              <w:spacing w:after="0"/>
              <w:rPr>
                <w:sz w:val="20"/>
                <w:szCs w:val="20"/>
                <w:color w:val="auto"/>
              </w:rPr>
            </w:pPr>
            <w:r>
              <w:rPr>
                <w:rFonts w:ascii="Courier New" w:cs="Courier New" w:eastAsia="Courier New" w:hAnsi="Courier New"/>
                <w:sz w:val="12"/>
                <w:szCs w:val="12"/>
                <w:color w:val="auto"/>
              </w:rPr>
              <w:t>after assumed exercise of</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3080" w:type="dxa"/>
            <w:vAlign w:val="bottom"/>
          </w:tcPr>
          <w:p>
            <w:pPr>
              <w:ind w:left="420"/>
              <w:spacing w:after="0"/>
              <w:rPr>
                <w:sz w:val="20"/>
                <w:szCs w:val="20"/>
                <w:color w:val="auto"/>
              </w:rPr>
            </w:pPr>
            <w:r>
              <w:rPr>
                <w:rFonts w:ascii="Courier New" w:cs="Courier New" w:eastAsia="Courier New" w:hAnsi="Courier New"/>
                <w:sz w:val="12"/>
                <w:szCs w:val="12"/>
                <w:color w:val="auto"/>
              </w:rPr>
              <w:t>outstanding stock options</w:t>
            </w:r>
          </w:p>
        </w:tc>
        <w:tc>
          <w:tcPr>
            <w:tcW w:w="42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40,775</w:t>
            </w:r>
          </w:p>
        </w:tc>
        <w:tc>
          <w:tcPr>
            <w:tcW w:w="32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7"/>
              </w:rPr>
              <w:t>40,701</w:t>
            </w:r>
          </w:p>
        </w:tc>
        <w:tc>
          <w:tcPr>
            <w:tcW w:w="320" w:type="dxa"/>
            <w:vAlign w:val="bottom"/>
          </w:tcPr>
          <w:p>
            <w:pPr>
              <w:spacing w:after="0"/>
              <w:rPr>
                <w:sz w:val="11"/>
                <w:szCs w:val="11"/>
                <w:color w:val="auto"/>
              </w:rPr>
            </w:pPr>
          </w:p>
        </w:tc>
        <w:tc>
          <w:tcPr>
            <w:tcW w:w="6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40,746</w:t>
            </w:r>
          </w:p>
        </w:tc>
        <w:tc>
          <w:tcPr>
            <w:tcW w:w="3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41,165</w:t>
            </w:r>
          </w:p>
        </w:tc>
      </w:tr>
      <w:tr>
        <w:trPr>
          <w:trHeight w:val="135"/>
        </w:trPr>
        <w:tc>
          <w:tcPr>
            <w:tcW w:w="30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Diluted earnings per share</w:t>
            </w: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0.42</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0.52</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1.58</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1.85</w:t>
            </w:r>
          </w:p>
        </w:tc>
      </w:tr>
      <w:tr>
        <w:trPr>
          <w:trHeight w:val="135"/>
        </w:trPr>
        <w:tc>
          <w:tcPr>
            <w:tcW w:w="30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 w:lineRule="exact"/>
        <w:rPr>
          <w:sz w:val="20"/>
          <w:szCs w:val="20"/>
          <w:color w:val="auto"/>
        </w:rPr>
      </w:pPr>
    </w:p>
    <w:sectPr>
      <w:pgSz w:w="11900" w:h="16838" w:orient="portrait"/>
      <w:cols w:equalWidth="0" w:num="1">
        <w:col w:w="10239"/>
      </w:cols>
      <w:pgMar w:left="22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2)"/>
      <w:numFmt w:val="lowerLetter"/>
      <w:start w:val="1"/>
    </w:lvl>
  </w:abstractNum>
  <w:abstractNum w:abstractNumId="3">
    <w:nsid w:val="625558EC"/>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2019-12-11T17:15:52Z</dcterms:created>
  <dcterms:modified xsi:type="dcterms:W3CDTF">2019-12-11T17:15:52Z</dcterms:modified>
</cp:coreProperties>
</file>